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tabs>
          <w:tab w:val="left" w:pos="851" w:leader="none"/>
        </w:tabs>
        <w:spacing w:lineRule="auto" w:line="240" w:before="0" w:after="0"/>
        <w:ind w:left="5812" w:hanging="0"/>
        <w:jc w:val="right"/>
        <w:rPr/>
      </w:pPr>
      <w:r>
        <w:rPr>
          <w:rFonts w:ascii="Times New Roman" w:hAnsi="Times New Roman"/>
        </w:rPr>
        <w:t xml:space="preserve">Приложение № </w:t>
      </w:r>
      <w:r>
        <w:rPr>
          <w:rFonts w:ascii="Times New Roman" w:hAnsi="Times New Roman"/>
        </w:rPr>
        <w:t>11</w:t>
      </w:r>
    </w:p>
    <w:p>
      <w:pPr>
        <w:pStyle w:val="Normal"/>
        <w:tabs>
          <w:tab w:val="left" w:pos="851" w:leader="none"/>
        </w:tabs>
        <w:spacing w:lineRule="auto" w:line="240" w:before="0" w:after="0"/>
        <w:ind w:left="5812" w:hanging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техническим требованиям</w:t>
      </w:r>
    </w:p>
    <w:p>
      <w:pPr>
        <w:pStyle w:val="ConsPlusNormal1"/>
        <w:widowControl/>
        <w:tabs>
          <w:tab w:val="left" w:pos="1260" w:leader="none"/>
        </w:tabs>
        <w:ind w:left="1260" w:hanging="1080"/>
        <w:jc w:val="center"/>
        <w:rPr>
          <w:rFonts w:ascii="Times New Roman" w:hAnsi="Times New Roman" w:cs="Times New Roman"/>
          <w:b/>
          <w:b/>
          <w:sz w:val="22"/>
          <w:szCs w:val="22"/>
        </w:rPr>
      </w:pPr>
      <w:r>
        <w:rPr>
          <w:rFonts w:cs="Times New Roman" w:ascii="Times New Roman" w:hAnsi="Times New Roman"/>
          <w:b/>
          <w:sz w:val="22"/>
          <w:szCs w:val="22"/>
        </w:rPr>
      </w:r>
    </w:p>
    <w:p>
      <w:pPr>
        <w:pStyle w:val="ConsPlusNormal1"/>
        <w:widowControl/>
        <w:tabs>
          <w:tab w:val="left" w:pos="1260" w:leader="none"/>
        </w:tabs>
        <w:ind w:left="1260" w:hanging="1080"/>
        <w:jc w:val="center"/>
        <w:rPr>
          <w:rFonts w:ascii="Times New Roman" w:hAnsi="Times New Roman" w:cs="Times New Roman"/>
          <w:b/>
          <w:b/>
          <w:sz w:val="22"/>
          <w:szCs w:val="22"/>
        </w:rPr>
      </w:pPr>
      <w:r>
        <w:rPr>
          <w:rFonts w:cs="Times New Roman" w:ascii="Times New Roman" w:hAnsi="Times New Roman"/>
          <w:b/>
          <w:sz w:val="22"/>
          <w:szCs w:val="22"/>
        </w:rPr>
        <w:t>Требования</w:t>
      </w:r>
    </w:p>
    <w:p>
      <w:pPr>
        <w:pStyle w:val="ConsPlusNormal1"/>
        <w:widowControl/>
        <w:tabs>
          <w:tab w:val="left" w:pos="1260" w:leader="none"/>
        </w:tabs>
        <w:ind w:left="1260" w:hanging="1080"/>
        <w:jc w:val="center"/>
        <w:rPr>
          <w:rFonts w:ascii="Times New Roman" w:hAnsi="Times New Roman" w:cs="Times New Roman"/>
          <w:b/>
          <w:b/>
          <w:sz w:val="22"/>
          <w:szCs w:val="22"/>
        </w:rPr>
      </w:pPr>
      <w:r>
        <w:rPr>
          <w:rFonts w:cs="Times New Roman" w:ascii="Times New Roman" w:hAnsi="Times New Roman"/>
          <w:b/>
          <w:sz w:val="22"/>
          <w:szCs w:val="22"/>
        </w:rPr>
        <w:t xml:space="preserve"> </w:t>
      </w:r>
      <w:r>
        <w:rPr>
          <w:rFonts w:cs="Times New Roman" w:ascii="Times New Roman" w:hAnsi="Times New Roman"/>
          <w:b/>
          <w:sz w:val="22"/>
          <w:szCs w:val="22"/>
        </w:rPr>
        <w:t>к оформлению и составлению сметной документации.</w:t>
      </w:r>
    </w:p>
    <w:p>
      <w:pPr>
        <w:pStyle w:val="ConsPlusNormal1"/>
        <w:widowControl/>
        <w:tabs>
          <w:tab w:val="left" w:pos="1260" w:leader="none"/>
        </w:tabs>
        <w:ind w:left="1260" w:hanging="1080"/>
        <w:jc w:val="both"/>
        <w:rPr>
          <w:rFonts w:ascii="Times New Roman" w:hAnsi="Times New Roman" w:cs="Times New Roman"/>
          <w:b/>
          <w:b/>
          <w:sz w:val="22"/>
          <w:szCs w:val="22"/>
        </w:rPr>
      </w:pPr>
      <w:r>
        <w:rPr>
          <w:rFonts w:cs="Times New Roman" w:ascii="Times New Roman" w:hAnsi="Times New Roman"/>
          <w:b/>
          <w:sz w:val="22"/>
          <w:szCs w:val="22"/>
        </w:rPr>
      </w:r>
    </w:p>
    <w:p>
      <w:pPr>
        <w:pStyle w:val="ConsPlusNormal1"/>
        <w:widowControl/>
        <w:numPr>
          <w:ilvl w:val="0"/>
          <w:numId w:val="1"/>
        </w:numPr>
        <w:tabs>
          <w:tab w:val="left" w:pos="993" w:leader="none"/>
        </w:tabs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 xml:space="preserve">Стоимость шеф - монтажных работ определять отдельным расчетом. Расчет стоимости шеф - монтажных работ выполняется по форме 3П с предоставлением подтверждающих документов по уровню заработной платы, удельному весу накладных расходов в себестоимости, уровню рентабельности (образец формы расчета представлен в Приложении № 1 к настоящим Требованиям). Участник (подрядчик, контрагент) представляет смету на шеф-монтажные работы в соответствии с графиком выполнения работ. При изменении графика выполнения работ по вине Заказчика и выполнении работ по требованию Заказчика сверхурочно, не по вине Подрядчика, в расчете стоимости шеф-монтажных работ, выполняемых сверхурочно, стоимость человеко-часа увеличивается не более, чем на 30%. Стоимость шеф-монтажных работ в стоимость оборудования не включается. </w:t>
      </w:r>
    </w:p>
    <w:p>
      <w:pPr>
        <w:pStyle w:val="ConsPlusNormal1"/>
        <w:widowControl/>
        <w:numPr>
          <w:ilvl w:val="0"/>
          <w:numId w:val="1"/>
        </w:numPr>
        <w:tabs>
          <w:tab w:val="left" w:pos="993" w:leader="none"/>
        </w:tabs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Стоимость доводки (доработка и укрупнительная сборка) оборудования включается в стоимость оборудования и дополнительно не оплачивается.</w:t>
      </w:r>
    </w:p>
    <w:p>
      <w:pPr>
        <w:pStyle w:val="ConsPlusNormal1"/>
        <w:widowControl/>
        <w:numPr>
          <w:ilvl w:val="0"/>
          <w:numId w:val="1"/>
        </w:numPr>
        <w:tabs>
          <w:tab w:val="left" w:pos="993" w:leader="none"/>
        </w:tabs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 xml:space="preserve">При необходимости учета командировочных расходов в сметной документации составляется предварительный расчет. Размер суточных командировочных расходов определять в соответствии с Федеральным законом от 24.07.2007. N 216-ФЗ и с учетом норм, определяемых внутренним документом организации. </w:t>
      </w:r>
    </w:p>
    <w:p>
      <w:pPr>
        <w:pStyle w:val="ConsPlusNormal1"/>
        <w:widowControl/>
        <w:tabs>
          <w:tab w:val="left" w:pos="993" w:leader="none"/>
        </w:tabs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Лимиты командировочных расходов:</w:t>
      </w:r>
    </w:p>
    <w:p>
      <w:pPr>
        <w:pStyle w:val="ConsPlusNormal1"/>
        <w:widowControl/>
        <w:numPr>
          <w:ilvl w:val="0"/>
          <w:numId w:val="5"/>
        </w:numPr>
        <w:tabs>
          <w:tab w:val="left" w:pos="993" w:leader="none"/>
        </w:tabs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Суточные - не более 700 руб./сутки;</w:t>
      </w:r>
    </w:p>
    <w:p>
      <w:pPr>
        <w:pStyle w:val="ConsPlusNormal1"/>
        <w:widowControl/>
        <w:numPr>
          <w:ilvl w:val="0"/>
          <w:numId w:val="5"/>
        </w:numPr>
        <w:tabs>
          <w:tab w:val="left" w:pos="993" w:leader="none"/>
        </w:tabs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проживание – не более 5000 руб/сутки;</w:t>
      </w:r>
    </w:p>
    <w:p>
      <w:pPr>
        <w:pStyle w:val="ConsPlusNormal1"/>
        <w:widowControl/>
        <w:numPr>
          <w:ilvl w:val="0"/>
          <w:numId w:val="5"/>
        </w:numPr>
        <w:tabs>
          <w:tab w:val="left" w:pos="993" w:leader="none"/>
        </w:tabs>
        <w:ind w:left="0" w:firstLine="567"/>
        <w:jc w:val="both"/>
        <w:rPr/>
      </w:pPr>
      <w:r>
        <w:rPr>
          <w:rFonts w:eastAsia="Calibri" w:ascii="Times New Roman" w:hAnsi="Times New Roman"/>
          <w:sz w:val="22"/>
          <w:szCs w:val="22"/>
          <w:lang w:eastAsia="en-US"/>
        </w:rPr>
        <w:t xml:space="preserve"> </w:t>
      </w:r>
      <w:r>
        <w:rPr>
          <w:rFonts w:eastAsia="Calibri" w:ascii="Times New Roman" w:hAnsi="Times New Roman"/>
          <w:sz w:val="22"/>
          <w:szCs w:val="22"/>
          <w:lang w:eastAsia="en-US"/>
        </w:rPr>
        <w:t>проезд: поезд (купе) или самолет (</w:t>
      </w:r>
      <w:r>
        <w:rPr>
          <w:rFonts w:ascii="Times New Roman" w:hAnsi="Times New Roman"/>
          <w:color w:val="000000"/>
          <w:sz w:val="22"/>
          <w:szCs w:val="22"/>
        </w:rPr>
        <w:t>класс–эконом с багажом до 20 (двадцати) кг, ручная кладь до 10 (десяти) кг</w:t>
      </w:r>
      <w:r>
        <w:rPr>
          <w:rFonts w:cs="Times New Roman" w:ascii="Times New Roman" w:hAnsi="Times New Roman"/>
          <w:sz w:val="22"/>
          <w:szCs w:val="22"/>
        </w:rPr>
        <w:t>.</w:t>
      </w:r>
    </w:p>
    <w:p>
      <w:pPr>
        <w:pStyle w:val="ConsPlusNormal1"/>
        <w:widowControl/>
        <w:tabs>
          <w:tab w:val="left" w:pos="993" w:leader="none"/>
        </w:tabs>
        <w:ind w:firstLine="567"/>
        <w:jc w:val="both"/>
        <w:rPr>
          <w:rFonts w:ascii="Times New Roman" w:hAnsi="Times New Roman" w:cs="Times New Roman"/>
          <w:sz w:val="22"/>
          <w:szCs w:val="22"/>
          <w:u w:val="single"/>
        </w:rPr>
      </w:pPr>
      <w:r>
        <w:rPr>
          <w:rFonts w:cs="Times New Roman" w:ascii="Times New Roman" w:hAnsi="Times New Roman"/>
          <w:sz w:val="22"/>
          <w:szCs w:val="22"/>
          <w:u w:val="single"/>
        </w:rPr>
        <w:t>Затраты на командировочные расходы по итогам работы должны быть подтверждены соответствующими отчетными документами.</w:t>
      </w:r>
    </w:p>
    <w:p>
      <w:pPr>
        <w:pStyle w:val="ConsPlusNormal1"/>
        <w:widowControl/>
        <w:numPr>
          <w:ilvl w:val="0"/>
          <w:numId w:val="1"/>
        </w:numPr>
        <w:tabs>
          <w:tab w:val="left" w:pos="993" w:leader="none"/>
          <w:tab w:val="left" w:pos="1875" w:leader="none"/>
        </w:tabs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Сметная документация должна быть представлена в двух вариантах:</w:t>
      </w:r>
    </w:p>
    <w:p>
      <w:pPr>
        <w:pStyle w:val="ConsPlusNormal1"/>
        <w:widowControl/>
        <w:numPr>
          <w:ilvl w:val="0"/>
          <w:numId w:val="2"/>
        </w:numPr>
        <w:tabs>
          <w:tab w:val="left" w:pos="993" w:leader="none"/>
        </w:tabs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на бумажном носителе (количество указано в конкурсной документации);</w:t>
      </w:r>
    </w:p>
    <w:p>
      <w:pPr>
        <w:sectPr>
          <w:type w:val="nextPage"/>
          <w:pgSz w:w="11906" w:h="16838"/>
          <w:pgMar w:left="1304" w:right="457" w:header="0" w:top="851" w:footer="0" w:bottom="719" w:gutter="0"/>
          <w:pgNumType w:fmt="decimal"/>
          <w:formProt w:val="false"/>
          <w:textDirection w:val="lrTb"/>
          <w:docGrid w:type="default" w:linePitch="360" w:charSpace="4294965247"/>
        </w:sectPr>
        <w:pStyle w:val="ConsPlusNormal1"/>
        <w:widowControl/>
        <w:numPr>
          <w:ilvl w:val="0"/>
          <w:numId w:val="2"/>
        </w:numPr>
        <w:tabs>
          <w:tab w:val="left" w:pos="993" w:leader="none"/>
        </w:tabs>
        <w:ind w:left="0" w:firstLine="567"/>
        <w:jc w:val="both"/>
        <w:rPr/>
      </w:pPr>
      <w:r>
        <w:rPr>
          <w:rFonts w:cs="Times New Roman" w:ascii="Times New Roman" w:hAnsi="Times New Roman"/>
          <w:sz w:val="22"/>
          <w:szCs w:val="22"/>
        </w:rPr>
        <w:t>на электронном носителе (в форматах, «Excel», «</w:t>
      </w:r>
      <w:r>
        <w:rPr>
          <w:rFonts w:cs="Times New Roman" w:ascii="Times New Roman" w:hAnsi="Times New Roman"/>
          <w:sz w:val="22"/>
          <w:szCs w:val="22"/>
          <w:lang w:val="en-US"/>
        </w:rPr>
        <w:t>pdf</w:t>
      </w:r>
      <w:r>
        <w:rPr>
          <w:rFonts w:cs="Times New Roman" w:ascii="Times New Roman" w:hAnsi="Times New Roman"/>
          <w:sz w:val="22"/>
          <w:szCs w:val="22"/>
        </w:rPr>
        <w:t>»), полностью соответствующему бумажному варианту.</w:t>
      </w:r>
    </w:p>
    <w:p>
      <w:pPr>
        <w:pStyle w:val="Normal"/>
        <w:spacing w:lineRule="auto" w:line="240" w:before="0" w:after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</w:r>
    </w:p>
    <w:p>
      <w:pPr>
        <w:pStyle w:val="Normal"/>
        <w:spacing w:lineRule="auto" w:line="240" w:before="0" w:after="0"/>
        <w:ind w:left="6373" w:firstLine="72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Приложение № 1</w:t>
      </w:r>
    </w:p>
    <w:p>
      <w:pPr>
        <w:pStyle w:val="Normal"/>
        <w:spacing w:lineRule="auto" w:line="240" w:before="0" w:after="0"/>
        <w:ind w:left="6373" w:firstLine="72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к Требованиям к оформлению и составлению сметной документации </w:t>
      </w:r>
    </w:p>
    <w:p>
      <w:pPr>
        <w:pStyle w:val="Normal"/>
        <w:shd w:val="clear" w:color="auto" w:fill="FFFFFF"/>
        <w:ind w:left="142" w:firstLine="720"/>
        <w:jc w:val="center"/>
        <w:rPr>
          <w:rFonts w:ascii="Times New Roman" w:hAnsi="Times New Roman"/>
          <w:b/>
          <w:b/>
        </w:rPr>
      </w:pPr>
      <w:r>
        <w:rPr>
          <w:rFonts w:ascii="Times New Roman" w:hAnsi="Times New Roman"/>
          <w:b/>
        </w:rPr>
        <w:t>Образец № 3п</w:t>
      </w:r>
    </w:p>
    <w:tbl>
      <w:tblPr>
        <w:tblW w:w="9678" w:type="dxa"/>
        <w:jc w:val="center"/>
        <w:tblInd w:w="0" w:type="dxa"/>
        <w:tblBorders/>
        <w:tblCellMar>
          <w:top w:w="0" w:type="dxa"/>
          <w:left w:w="108" w:type="dxa"/>
          <w:bottom w:w="0" w:type="dxa"/>
          <w:right w:w="108" w:type="dxa"/>
        </w:tblCellMar>
        <w:tblLook w:val="0000" w:noVBand="0" w:noHBand="0" w:lastColumn="0" w:firstColumn="0" w:lastRow="0" w:firstRow="0"/>
      </w:tblPr>
      <w:tblGrid>
        <w:gridCol w:w="9678"/>
      </w:tblGrid>
      <w:tr>
        <w:trPr/>
        <w:tc>
          <w:tcPr>
            <w:tcW w:w="9678" w:type="dxa"/>
            <w:tcBorders/>
            <w:shd w:color="auto" w:fill="auto" w:val="clear"/>
          </w:tcPr>
          <w:p>
            <w:pPr>
              <w:pStyle w:val="Normal"/>
              <w:shd w:val="clear" w:color="auto" w:fill="FFFFFF"/>
              <w:spacing w:before="0" w:after="0"/>
              <w:ind w:left="6236" w:hanging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Приложение №_____к договору от________________№_______</w:t>
            </w:r>
          </w:p>
          <w:p>
            <w:pPr>
              <w:pStyle w:val="Normal"/>
              <w:shd w:val="clear" w:color="auto" w:fill="FFFFFF"/>
              <w:spacing w:before="0" w:after="0"/>
              <w:ind w:left="6236" w:hanging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(дополнительному соглашению)</w:t>
            </w:r>
          </w:p>
          <w:tbl>
            <w:tblPr>
              <w:tblW w:w="9564" w:type="dxa"/>
              <w:jc w:val="left"/>
              <w:tblInd w:w="0" w:type="dxa"/>
              <w:tblBorders/>
              <w:tblCellMar>
                <w:top w:w="0" w:type="dxa"/>
                <w:left w:w="108" w:type="dxa"/>
                <w:bottom w:w="0" w:type="dxa"/>
                <w:right w:w="108" w:type="dxa"/>
              </w:tblCellMar>
              <w:tblLook w:val="0000" w:noVBand="0" w:noHBand="0" w:lastColumn="0" w:firstColumn="0" w:lastRow="0" w:firstRow="0"/>
            </w:tblPr>
            <w:tblGrid>
              <w:gridCol w:w="4430"/>
              <w:gridCol w:w="5133"/>
            </w:tblGrid>
            <w:tr>
              <w:trPr>
                <w:trHeight w:val="446" w:hRule="atLeast"/>
              </w:trPr>
              <w:tc>
                <w:tcPr>
                  <w:tcW w:w="4430" w:type="dxa"/>
                  <w:tcBorders/>
                  <w:shd w:color="auto" w:fill="auto" w:val="clear"/>
                  <w:vAlign w:val="bottom"/>
                </w:tcPr>
                <w:p>
                  <w:pPr>
                    <w:pStyle w:val="Normal"/>
                    <w:spacing w:before="0" w:after="0"/>
                    <w:rPr>
                      <w:rFonts w:ascii="Times New Roman" w:hAnsi="Times New Roman"/>
                      <w:b/>
                      <w:b/>
                      <w:bCs/>
                    </w:rPr>
                  </w:pPr>
                  <w:r>
                    <w:rPr>
                      <w:rFonts w:ascii="Times New Roman" w:hAnsi="Times New Roman"/>
                      <w:b/>
                      <w:bCs/>
                    </w:rPr>
                  </w:r>
                </w:p>
                <w:p>
                  <w:pPr>
                    <w:pStyle w:val="Normal"/>
                    <w:spacing w:before="0" w:after="0"/>
                    <w:rPr>
                      <w:rFonts w:ascii="Times New Roman" w:hAnsi="Times New Roman"/>
                      <w:b/>
                      <w:b/>
                      <w:bCs/>
                    </w:rPr>
                  </w:pPr>
                  <w:r>
                    <w:rPr>
                      <w:rFonts w:ascii="Times New Roman" w:hAnsi="Times New Roman"/>
                      <w:b/>
                      <w:bCs/>
                    </w:rPr>
                    <w:t>СОГЛАСОВАНО:</w:t>
                  </w:r>
                </w:p>
                <w:p>
                  <w:pPr>
                    <w:pStyle w:val="Normal"/>
                    <w:spacing w:before="0" w:after="0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________________(Подрядчик)</w:t>
                  </w:r>
                </w:p>
                <w:p>
                  <w:pPr>
                    <w:pStyle w:val="Normal"/>
                    <w:spacing w:before="0" w:after="0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________________ И.О.Ф</w:t>
                  </w:r>
                </w:p>
                <w:p>
                  <w:pPr>
                    <w:pStyle w:val="Normal"/>
                    <w:spacing w:before="0" w:after="0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</w:r>
                </w:p>
              </w:tc>
              <w:tc>
                <w:tcPr>
                  <w:tcW w:w="5133" w:type="dxa"/>
                  <w:tcBorders/>
                  <w:shd w:color="auto" w:fill="auto" w:val="clear"/>
                </w:tcPr>
                <w:p>
                  <w:pPr>
                    <w:pStyle w:val="Normal"/>
                    <w:spacing w:before="0" w:after="0"/>
                    <w:rPr>
                      <w:rFonts w:ascii="Times New Roman" w:hAnsi="Times New Roman"/>
                      <w:b/>
                      <w:b/>
                      <w:bCs/>
                    </w:rPr>
                  </w:pPr>
                  <w:r>
                    <w:rPr>
                      <w:rFonts w:ascii="Times New Roman" w:hAnsi="Times New Roman"/>
                      <w:b/>
                      <w:bCs/>
                    </w:rPr>
                  </w:r>
                </w:p>
                <w:p>
                  <w:pPr>
                    <w:pStyle w:val="Normal"/>
                    <w:spacing w:before="0" w:after="0"/>
                    <w:ind w:left="1886" w:firstLine="720"/>
                    <w:rPr>
                      <w:rFonts w:ascii="Times New Roman" w:hAnsi="Times New Roman"/>
                      <w:b/>
                      <w:b/>
                      <w:bCs/>
                    </w:rPr>
                  </w:pPr>
                  <w:r>
                    <w:rPr>
                      <w:rFonts w:ascii="Times New Roman" w:hAnsi="Times New Roman"/>
                      <w:b/>
                      <w:bCs/>
                    </w:rPr>
                    <w:t>УТВЕРЖДАЮ:</w:t>
                  </w:r>
                </w:p>
                <w:p>
                  <w:pPr>
                    <w:pStyle w:val="Normal"/>
                    <w:spacing w:before="0" w:after="0"/>
                    <w:ind w:left="1928" w:hanging="0"/>
                    <w:rPr>
                      <w:rFonts w:ascii="Times New Roman" w:hAnsi="Times New Roman"/>
                      <w:bCs/>
                    </w:rPr>
                  </w:pPr>
                  <w:r>
                    <w:rPr>
                      <w:rFonts w:ascii="Times New Roman" w:hAnsi="Times New Roman"/>
                      <w:bCs/>
                    </w:rPr>
                    <w:t>__________________(Заказчик)</w:t>
                  </w:r>
                </w:p>
                <w:p>
                  <w:pPr>
                    <w:pStyle w:val="Normal"/>
                    <w:spacing w:before="0" w:after="0"/>
                    <w:ind w:left="1984" w:right="-57" w:hanging="0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__________________И.О.Ф.</w:t>
                  </w:r>
                </w:p>
                <w:p>
                  <w:pPr>
                    <w:pStyle w:val="Normal"/>
                    <w:spacing w:before="0" w:after="0"/>
                    <w:rPr>
                      <w:rFonts w:ascii="Times New Roman" w:hAnsi="Times New Roman"/>
                      <w:b/>
                      <w:b/>
                      <w:bCs/>
                    </w:rPr>
                  </w:pPr>
                  <w:r>
                    <w:rPr>
                      <w:rFonts w:ascii="Times New Roman" w:hAnsi="Times New Roman"/>
                      <w:b/>
                      <w:bCs/>
                    </w:rPr>
                  </w:r>
                </w:p>
              </w:tc>
            </w:tr>
          </w:tbl>
          <w:p>
            <w:pPr>
              <w:pStyle w:val="Normal"/>
              <w:shd w:val="clear" w:color="auto" w:fill="FFFFFF"/>
              <w:spacing w:before="480" w:after="0"/>
              <w:jc w:val="center"/>
              <w:rPr>
                <w:rFonts w:ascii="Times New Roman" w:hAnsi="Times New Roman"/>
                <w:b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Смета № </w:t>
              <w:br/>
              <w:t>на шеф - монтажные работы</w:t>
            </w:r>
          </w:p>
          <w:p>
            <w:pPr>
              <w:pStyle w:val="Normal"/>
              <w:shd w:val="clear" w:color="auto" w:fill="FFFFFF"/>
              <w:spacing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  <w:p>
            <w:pPr>
              <w:pStyle w:val="Normal"/>
              <w:shd w:val="clear" w:color="auto" w:fill="FFFFFF"/>
              <w:spacing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Наименование предприятия, здания, сооружения, вида шеф-монтажных работ_____________________________________________________________</w:t>
            </w:r>
          </w:p>
          <w:p>
            <w:pPr>
              <w:pStyle w:val="Normal"/>
              <w:shd w:val="clear" w:color="auto" w:fill="FFFFFF"/>
              <w:spacing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__________________________________________________________________</w:t>
            </w:r>
          </w:p>
          <w:p>
            <w:pPr>
              <w:pStyle w:val="Normal"/>
              <w:shd w:val="clear" w:color="auto" w:fill="FFFFFF"/>
              <w:spacing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Наименование монтажной организации ________________________________</w:t>
            </w:r>
          </w:p>
          <w:p>
            <w:pPr>
              <w:pStyle w:val="Normal"/>
              <w:shd w:val="clear" w:color="auto" w:fill="FFFFFF"/>
              <w:spacing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Наименование организации заказчика _________________________________</w:t>
            </w:r>
          </w:p>
          <w:p>
            <w:pPr>
              <w:pStyle w:val="Normal"/>
              <w:shd w:val="clear" w:color="auto" w:fill="FFFFFF"/>
              <w:spacing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Составлена в текущих ценах, соответствующих периоду выполнения работ по договору</w:t>
            </w:r>
          </w:p>
          <w:p>
            <w:pPr>
              <w:pStyle w:val="Normal"/>
              <w:shd w:val="clear" w:color="auto" w:fill="FFFFFF"/>
              <w:spacing w:before="240" w:after="0"/>
              <w:rPr/>
            </w:pPr>
            <w:r>
              <w:rPr>
                <w:rFonts w:ascii="Times New Roman" w:hAnsi="Times New Roman"/>
                <w:b/>
              </w:rPr>
              <w:t>1. Расчет заработной платы</w:t>
            </w:r>
            <w:r>
              <w:rPr>
                <w:rFonts w:ascii="Times New Roman" w:hAnsi="Times New Roman"/>
              </w:rPr>
              <w:tab/>
              <w:tab/>
              <w:tab/>
              <w:tab/>
              <w:tab/>
              <w:tab/>
              <w:tab/>
              <w:tab/>
              <w:t>руб.</w:t>
            </w:r>
          </w:p>
          <w:tbl>
            <w:tblPr>
              <w:tblW w:w="5000" w:type="pct"/>
              <w:jc w:val="center"/>
              <w:tblInd w:w="0" w:type="dxa"/>
              <w:tblBorders>
                <w:top w:val="single" w:sz="6" w:space="0" w:color="00000A"/>
                <w:left w:val="single" w:sz="6" w:space="0" w:color="00000A"/>
                <w:bottom w:val="single" w:sz="6" w:space="0" w:color="00000A"/>
                <w:right w:val="single" w:sz="2" w:space="0" w:color="00000A"/>
                <w:insideH w:val="single" w:sz="6" w:space="0" w:color="00000A"/>
                <w:insideV w:val="single" w:sz="2" w:space="0" w:color="00000A"/>
              </w:tblBorders>
              <w:tblCellMar>
                <w:top w:w="0" w:type="dxa"/>
                <w:left w:w="4" w:type="dxa"/>
                <w:bottom w:w="0" w:type="dxa"/>
                <w:right w:w="28" w:type="dxa"/>
              </w:tblCellMar>
              <w:tblLook w:val="0000" w:noVBand="0" w:noHBand="0" w:lastColumn="0" w:firstColumn="0" w:lastRow="0" w:firstRow="0"/>
            </w:tblPr>
            <w:tblGrid>
              <w:gridCol w:w="407"/>
              <w:gridCol w:w="2396"/>
              <w:gridCol w:w="1120"/>
              <w:gridCol w:w="1167"/>
              <w:gridCol w:w="1218"/>
              <w:gridCol w:w="1316"/>
              <w:gridCol w:w="1837"/>
            </w:tblGrid>
            <w:tr>
              <w:trPr>
                <w:tblHeader w:val="true"/>
              </w:trPr>
              <w:tc>
                <w:tcPr>
                  <w:tcW w:w="407" w:type="dxa"/>
                  <w:vMerge w:val="restart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2" w:space="0" w:color="00000A"/>
                    <w:insideH w:val="single" w:sz="6" w:space="0" w:color="00000A"/>
                    <w:insideV w:val="single" w:sz="2" w:space="0" w:color="00000A"/>
                  </w:tcBorders>
                  <w:shd w:color="auto" w:fill="FFFFFF" w:val="clear"/>
                  <w:tcMar>
                    <w:left w:w="4" w:type="dxa"/>
                  </w:tcMar>
                  <w:vAlign w:val="center"/>
                </w:tcPr>
                <w:p>
                  <w:pPr>
                    <w:pStyle w:val="Normal"/>
                    <w:shd w:val="clear" w:color="auto" w:fill="FFFFFF"/>
                    <w:spacing w:before="0" w:after="0"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 xml:space="preserve">№ </w:t>
                  </w:r>
                  <w:r>
                    <w:rPr>
                      <w:rFonts w:ascii="Times New Roman" w:hAnsi="Times New Roman"/>
                    </w:rPr>
                    <w:t>п.п.</w:t>
                  </w:r>
                </w:p>
              </w:tc>
              <w:tc>
                <w:tcPr>
                  <w:tcW w:w="2396" w:type="dxa"/>
                  <w:vMerge w:val="restart"/>
                  <w:tcBorders>
                    <w:top w:val="single" w:sz="6" w:space="0" w:color="00000A"/>
                    <w:left w:val="single" w:sz="2" w:space="0" w:color="00000A"/>
                    <w:bottom w:val="single" w:sz="6" w:space="0" w:color="00000A"/>
                    <w:right w:val="single" w:sz="2" w:space="0" w:color="00000A"/>
                    <w:insideH w:val="single" w:sz="6" w:space="0" w:color="00000A"/>
                    <w:insideV w:val="single" w:sz="2" w:space="0" w:color="00000A"/>
                  </w:tcBorders>
                  <w:shd w:color="auto" w:fill="FFFFFF" w:val="clear"/>
                  <w:tcMar>
                    <w:left w:w="19" w:type="dxa"/>
                  </w:tcMar>
                  <w:vAlign w:val="center"/>
                </w:tcPr>
                <w:p>
                  <w:pPr>
                    <w:pStyle w:val="Normal"/>
                    <w:shd w:val="clear" w:color="auto" w:fill="FFFFFF"/>
                    <w:spacing w:before="0" w:after="0"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Перечень выполняемых работ</w:t>
                  </w:r>
                </w:p>
              </w:tc>
              <w:tc>
                <w:tcPr>
                  <w:tcW w:w="2287" w:type="dxa"/>
                  <w:gridSpan w:val="2"/>
                  <w:tcBorders>
                    <w:top w:val="single" w:sz="6" w:space="0" w:color="00000A"/>
                    <w:left w:val="single" w:sz="2" w:space="0" w:color="00000A"/>
                    <w:bottom w:val="single" w:sz="2" w:space="0" w:color="00000A"/>
                    <w:right w:val="single" w:sz="2" w:space="0" w:color="00000A"/>
                    <w:insideH w:val="single" w:sz="2" w:space="0" w:color="00000A"/>
                    <w:insideV w:val="single" w:sz="2" w:space="0" w:color="00000A"/>
                  </w:tcBorders>
                  <w:shd w:color="auto" w:fill="FFFFFF" w:val="clear"/>
                  <w:tcMar>
                    <w:left w:w="19" w:type="dxa"/>
                  </w:tcMar>
                  <w:vAlign w:val="center"/>
                </w:tcPr>
                <w:p>
                  <w:pPr>
                    <w:pStyle w:val="Normal"/>
                    <w:shd w:val="clear" w:color="auto" w:fill="FFFFFF"/>
                    <w:spacing w:before="0" w:after="0"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Исполнители</w:t>
                  </w:r>
                </w:p>
              </w:tc>
              <w:tc>
                <w:tcPr>
                  <w:tcW w:w="1218" w:type="dxa"/>
                  <w:vMerge w:val="restart"/>
                  <w:tcBorders>
                    <w:top w:val="single" w:sz="6" w:space="0" w:color="00000A"/>
                    <w:left w:val="single" w:sz="2" w:space="0" w:color="00000A"/>
                    <w:bottom w:val="single" w:sz="6" w:space="0" w:color="00000A"/>
                    <w:right w:val="single" w:sz="6" w:space="0" w:color="00000A"/>
                    <w:insideH w:val="single" w:sz="6" w:space="0" w:color="00000A"/>
                    <w:insideV w:val="single" w:sz="6" w:space="0" w:color="00000A"/>
                  </w:tcBorders>
                  <w:shd w:color="auto" w:fill="FFFFFF" w:val="clear"/>
                  <w:tcMar>
                    <w:left w:w="19" w:type="dxa"/>
                  </w:tcMar>
                  <w:vAlign w:val="center"/>
                </w:tcPr>
                <w:p>
                  <w:pPr>
                    <w:pStyle w:val="Normal"/>
                    <w:shd w:val="clear" w:color="auto" w:fill="FFFFFF"/>
                    <w:spacing w:before="0" w:after="0"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Количество человеко-дней</w:t>
                  </w:r>
                </w:p>
              </w:tc>
              <w:tc>
                <w:tcPr>
                  <w:tcW w:w="1316" w:type="dxa"/>
                  <w:vMerge w:val="restart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2" w:space="0" w:color="00000A"/>
                    <w:insideH w:val="single" w:sz="6" w:space="0" w:color="00000A"/>
                    <w:insideV w:val="single" w:sz="2" w:space="0" w:color="00000A"/>
                  </w:tcBorders>
                  <w:shd w:color="auto" w:fill="FFFFFF" w:val="clear"/>
                  <w:tcMar>
                    <w:left w:w="4" w:type="dxa"/>
                  </w:tcMar>
                  <w:vAlign w:val="center"/>
                </w:tcPr>
                <w:p>
                  <w:pPr>
                    <w:pStyle w:val="Normal"/>
                    <w:shd w:val="clear" w:color="auto" w:fill="FFFFFF"/>
                    <w:spacing w:before="0" w:after="0"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Средняя оплата труда</w:t>
                  </w:r>
                </w:p>
                <w:p>
                  <w:pPr>
                    <w:pStyle w:val="Normal"/>
                    <w:shd w:val="clear" w:color="auto" w:fill="FFFFFF"/>
                    <w:spacing w:before="0" w:after="0"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 xml:space="preserve"> </w:t>
                  </w:r>
                  <w:r>
                    <w:rPr>
                      <w:rFonts w:ascii="Times New Roman" w:hAnsi="Times New Roman"/>
                    </w:rPr>
                    <w:t>за 1 день</w:t>
                  </w:r>
                </w:p>
              </w:tc>
              <w:tc>
                <w:tcPr>
                  <w:tcW w:w="1837" w:type="dxa"/>
                  <w:vMerge w:val="restart"/>
                  <w:tcBorders>
                    <w:top w:val="single" w:sz="6" w:space="0" w:color="00000A"/>
                    <w:left w:val="single" w:sz="2" w:space="0" w:color="00000A"/>
                    <w:bottom w:val="single" w:sz="6" w:space="0" w:color="00000A"/>
                    <w:right w:val="single" w:sz="6" w:space="0" w:color="00000A"/>
                    <w:insideH w:val="single" w:sz="6" w:space="0" w:color="00000A"/>
                    <w:insideV w:val="single" w:sz="6" w:space="0" w:color="00000A"/>
                  </w:tcBorders>
                  <w:shd w:color="auto" w:fill="FFFFFF" w:val="clear"/>
                  <w:tcMar>
                    <w:left w:w="19" w:type="dxa"/>
                  </w:tcMar>
                  <w:vAlign w:val="center"/>
                </w:tcPr>
                <w:p>
                  <w:pPr>
                    <w:pStyle w:val="Normal"/>
                    <w:shd w:val="clear" w:color="auto" w:fill="FFFFFF"/>
                    <w:spacing w:before="0" w:after="0"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Оплата труда (всего)</w:t>
                  </w:r>
                </w:p>
              </w:tc>
            </w:tr>
            <w:tr>
              <w:trPr>
                <w:tblHeader w:val="true"/>
              </w:trPr>
              <w:tc>
                <w:tcPr>
                  <w:tcW w:w="407" w:type="dxa"/>
                  <w:vMerge w:val="continue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2" w:space="0" w:color="00000A"/>
                    <w:insideH w:val="single" w:sz="6" w:space="0" w:color="00000A"/>
                    <w:insideV w:val="single" w:sz="2" w:space="0" w:color="00000A"/>
                  </w:tcBorders>
                  <w:shd w:color="auto" w:fill="FFFFFF" w:val="clear"/>
                  <w:tcMar>
                    <w:left w:w="4" w:type="dxa"/>
                  </w:tcMar>
                  <w:vAlign w:val="center"/>
                </w:tcPr>
                <w:p>
                  <w:pPr>
                    <w:pStyle w:val="Normal"/>
                    <w:widowControl/>
                    <w:bidi w:val="0"/>
                    <w:spacing w:lineRule="auto" w:line="276" w:before="0" w:after="200"/>
                    <w:jc w:val="left"/>
                    <w:rPr/>
                  </w:pPr>
                  <w:r>
                    <w:rPr/>
                  </w:r>
                </w:p>
              </w:tc>
              <w:tc>
                <w:tcPr>
                  <w:tcW w:w="2396" w:type="dxa"/>
                  <w:vMerge w:val="continue"/>
                  <w:tcBorders>
                    <w:top w:val="single" w:sz="6" w:space="0" w:color="00000A"/>
                    <w:left w:val="single" w:sz="2" w:space="0" w:color="00000A"/>
                    <w:bottom w:val="single" w:sz="6" w:space="0" w:color="00000A"/>
                    <w:right w:val="single" w:sz="2" w:space="0" w:color="00000A"/>
                    <w:insideH w:val="single" w:sz="6" w:space="0" w:color="00000A"/>
                    <w:insideV w:val="single" w:sz="2" w:space="0" w:color="00000A"/>
                  </w:tcBorders>
                  <w:shd w:color="auto" w:fill="FFFFFF" w:val="clear"/>
                  <w:tcMar>
                    <w:left w:w="19" w:type="dxa"/>
                  </w:tcMar>
                  <w:vAlign w:val="center"/>
                </w:tcPr>
                <w:p>
                  <w:pPr>
                    <w:pStyle w:val="Normal"/>
                    <w:widowControl/>
                    <w:bidi w:val="0"/>
                    <w:spacing w:lineRule="auto" w:line="276" w:before="0" w:after="200"/>
                    <w:jc w:val="left"/>
                    <w:rPr/>
                  </w:pPr>
                  <w:r>
                    <w:rPr/>
                  </w:r>
                </w:p>
              </w:tc>
              <w:tc>
                <w:tcPr>
                  <w:tcW w:w="1120" w:type="dxa"/>
                  <w:tcBorders>
                    <w:top w:val="single" w:sz="2" w:space="0" w:color="00000A"/>
                    <w:left w:val="single" w:sz="2" w:space="0" w:color="00000A"/>
                    <w:bottom w:val="single" w:sz="6" w:space="0" w:color="00000A"/>
                    <w:right w:val="single" w:sz="2" w:space="0" w:color="00000A"/>
                    <w:insideH w:val="single" w:sz="6" w:space="0" w:color="00000A"/>
                    <w:insideV w:val="single" w:sz="2" w:space="0" w:color="00000A"/>
                  </w:tcBorders>
                  <w:shd w:color="auto" w:fill="FFFFFF" w:val="clear"/>
                  <w:tcMar>
                    <w:left w:w="19" w:type="dxa"/>
                  </w:tcMar>
                  <w:vAlign w:val="center"/>
                </w:tcPr>
                <w:p>
                  <w:pPr>
                    <w:pStyle w:val="Normal"/>
                    <w:shd w:val="clear" w:color="auto" w:fill="FFFFFF"/>
                    <w:spacing w:before="0" w:after="0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количество</w:t>
                  </w:r>
                </w:p>
              </w:tc>
              <w:tc>
                <w:tcPr>
                  <w:tcW w:w="1167" w:type="dxa"/>
                  <w:tcBorders>
                    <w:top w:val="single" w:sz="2" w:space="0" w:color="00000A"/>
                    <w:left w:val="single" w:sz="2" w:space="0" w:color="00000A"/>
                    <w:bottom w:val="single" w:sz="6" w:space="0" w:color="00000A"/>
                    <w:right w:val="single" w:sz="2" w:space="0" w:color="00000A"/>
                    <w:insideH w:val="single" w:sz="6" w:space="0" w:color="00000A"/>
                    <w:insideV w:val="single" w:sz="2" w:space="0" w:color="00000A"/>
                  </w:tcBorders>
                  <w:shd w:color="auto" w:fill="FFFFFF" w:val="clear"/>
                  <w:tcMar>
                    <w:left w:w="19" w:type="dxa"/>
                  </w:tcMar>
                  <w:vAlign w:val="center"/>
                </w:tcPr>
                <w:p>
                  <w:pPr>
                    <w:pStyle w:val="Normal"/>
                    <w:shd w:val="clear" w:color="auto" w:fill="FFFFFF"/>
                    <w:spacing w:before="0" w:after="0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должность</w:t>
                  </w:r>
                </w:p>
              </w:tc>
              <w:tc>
                <w:tcPr>
                  <w:tcW w:w="1218" w:type="dxa"/>
                  <w:vMerge w:val="continue"/>
                  <w:tcBorders>
                    <w:top w:val="single" w:sz="6" w:space="0" w:color="00000A"/>
                    <w:left w:val="single" w:sz="2" w:space="0" w:color="00000A"/>
                    <w:bottom w:val="single" w:sz="6" w:space="0" w:color="00000A"/>
                    <w:right w:val="single" w:sz="6" w:space="0" w:color="00000A"/>
                    <w:insideH w:val="single" w:sz="6" w:space="0" w:color="00000A"/>
                    <w:insideV w:val="single" w:sz="6" w:space="0" w:color="00000A"/>
                  </w:tcBorders>
                  <w:shd w:color="auto" w:fill="FFFFFF" w:val="clear"/>
                  <w:tcMar>
                    <w:left w:w="19" w:type="dxa"/>
                  </w:tcMar>
                  <w:vAlign w:val="center"/>
                </w:tcPr>
                <w:p>
                  <w:pPr>
                    <w:pStyle w:val="Normal"/>
                    <w:widowControl/>
                    <w:bidi w:val="0"/>
                    <w:spacing w:lineRule="auto" w:line="276" w:before="0" w:after="200"/>
                    <w:jc w:val="left"/>
                    <w:rPr/>
                  </w:pPr>
                  <w:r>
                    <w:rPr/>
                  </w:r>
                </w:p>
              </w:tc>
              <w:tc>
                <w:tcPr>
                  <w:tcW w:w="1316" w:type="dxa"/>
                  <w:vMerge w:val="continue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2" w:space="0" w:color="00000A"/>
                    <w:insideH w:val="single" w:sz="6" w:space="0" w:color="00000A"/>
                    <w:insideV w:val="single" w:sz="2" w:space="0" w:color="00000A"/>
                  </w:tcBorders>
                  <w:shd w:color="auto" w:fill="FFFFFF" w:val="clear"/>
                  <w:tcMar>
                    <w:left w:w="4" w:type="dxa"/>
                  </w:tcMar>
                  <w:vAlign w:val="center"/>
                </w:tcPr>
                <w:p>
                  <w:pPr>
                    <w:pStyle w:val="Normal"/>
                    <w:widowControl/>
                    <w:bidi w:val="0"/>
                    <w:spacing w:lineRule="auto" w:line="276" w:before="0" w:after="200"/>
                    <w:jc w:val="left"/>
                    <w:rPr/>
                  </w:pPr>
                  <w:r>
                    <w:rPr/>
                  </w:r>
                </w:p>
              </w:tc>
              <w:tc>
                <w:tcPr>
                  <w:tcW w:w="1837" w:type="dxa"/>
                  <w:vMerge w:val="continue"/>
                  <w:tcBorders>
                    <w:top w:val="single" w:sz="6" w:space="0" w:color="00000A"/>
                    <w:left w:val="single" w:sz="2" w:space="0" w:color="00000A"/>
                    <w:bottom w:val="single" w:sz="6" w:space="0" w:color="00000A"/>
                    <w:right w:val="single" w:sz="6" w:space="0" w:color="00000A"/>
                    <w:insideH w:val="single" w:sz="6" w:space="0" w:color="00000A"/>
                    <w:insideV w:val="single" w:sz="6" w:space="0" w:color="00000A"/>
                  </w:tcBorders>
                  <w:shd w:color="auto" w:fill="FFFFFF" w:val="clear"/>
                  <w:tcMar>
                    <w:left w:w="19" w:type="dxa"/>
                  </w:tcMar>
                  <w:vAlign w:val="center"/>
                </w:tcPr>
                <w:p>
                  <w:pPr>
                    <w:pStyle w:val="Normal"/>
                    <w:widowControl/>
                    <w:bidi w:val="0"/>
                    <w:spacing w:lineRule="auto" w:line="276" w:before="0" w:after="200"/>
                    <w:jc w:val="left"/>
                    <w:rPr/>
                  </w:pPr>
                  <w:r>
                    <w:rPr/>
                  </w:r>
                </w:p>
              </w:tc>
            </w:tr>
            <w:tr>
              <w:trPr>
                <w:tblHeader w:val="true"/>
              </w:trPr>
              <w:tc>
                <w:tcPr>
                  <w:tcW w:w="407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2" w:space="0" w:color="00000A"/>
                    <w:insideH w:val="single" w:sz="6" w:space="0" w:color="00000A"/>
                    <w:insideV w:val="single" w:sz="2" w:space="0" w:color="00000A"/>
                  </w:tcBorders>
                  <w:shd w:color="auto" w:fill="FFFFFF" w:val="clear"/>
                  <w:tcMar>
                    <w:left w:w="4" w:type="dxa"/>
                  </w:tcMar>
                  <w:vAlign w:val="center"/>
                </w:tcPr>
                <w:p>
                  <w:pPr>
                    <w:pStyle w:val="Normal"/>
                    <w:shd w:val="clear" w:color="auto" w:fill="FFFFFF"/>
                    <w:spacing w:before="0" w:after="0"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1</w:t>
                  </w:r>
                </w:p>
              </w:tc>
              <w:tc>
                <w:tcPr>
                  <w:tcW w:w="2396" w:type="dxa"/>
                  <w:tcBorders>
                    <w:top w:val="single" w:sz="6" w:space="0" w:color="00000A"/>
                    <w:left w:val="single" w:sz="2" w:space="0" w:color="00000A"/>
                    <w:bottom w:val="single" w:sz="6" w:space="0" w:color="00000A"/>
                    <w:right w:val="single" w:sz="2" w:space="0" w:color="00000A"/>
                    <w:insideH w:val="single" w:sz="6" w:space="0" w:color="00000A"/>
                    <w:insideV w:val="single" w:sz="2" w:space="0" w:color="00000A"/>
                  </w:tcBorders>
                  <w:shd w:color="auto" w:fill="FFFFFF" w:val="clear"/>
                  <w:tcMar>
                    <w:left w:w="19" w:type="dxa"/>
                  </w:tcMar>
                  <w:vAlign w:val="center"/>
                </w:tcPr>
                <w:p>
                  <w:pPr>
                    <w:pStyle w:val="Normal"/>
                    <w:shd w:val="clear" w:color="auto" w:fill="FFFFFF"/>
                    <w:spacing w:before="0" w:after="0"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2</w:t>
                  </w:r>
                </w:p>
              </w:tc>
              <w:tc>
                <w:tcPr>
                  <w:tcW w:w="1120" w:type="dxa"/>
                  <w:tcBorders>
                    <w:top w:val="single" w:sz="6" w:space="0" w:color="00000A"/>
                    <w:left w:val="single" w:sz="2" w:space="0" w:color="00000A"/>
                    <w:bottom w:val="single" w:sz="6" w:space="0" w:color="00000A"/>
                    <w:right w:val="single" w:sz="2" w:space="0" w:color="00000A"/>
                    <w:insideH w:val="single" w:sz="6" w:space="0" w:color="00000A"/>
                    <w:insideV w:val="single" w:sz="2" w:space="0" w:color="00000A"/>
                  </w:tcBorders>
                  <w:shd w:color="auto" w:fill="FFFFFF" w:val="clear"/>
                  <w:tcMar>
                    <w:left w:w="19" w:type="dxa"/>
                  </w:tcMar>
                  <w:vAlign w:val="center"/>
                </w:tcPr>
                <w:p>
                  <w:pPr>
                    <w:pStyle w:val="Normal"/>
                    <w:shd w:val="clear" w:color="auto" w:fill="FFFFFF"/>
                    <w:spacing w:before="0" w:after="0"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3</w:t>
                  </w:r>
                </w:p>
              </w:tc>
              <w:tc>
                <w:tcPr>
                  <w:tcW w:w="1167" w:type="dxa"/>
                  <w:tcBorders>
                    <w:top w:val="single" w:sz="6" w:space="0" w:color="00000A"/>
                    <w:left w:val="single" w:sz="2" w:space="0" w:color="00000A"/>
                    <w:bottom w:val="single" w:sz="6" w:space="0" w:color="00000A"/>
                    <w:right w:val="single" w:sz="2" w:space="0" w:color="00000A"/>
                    <w:insideH w:val="single" w:sz="6" w:space="0" w:color="00000A"/>
                    <w:insideV w:val="single" w:sz="2" w:space="0" w:color="00000A"/>
                  </w:tcBorders>
                  <w:shd w:color="auto" w:fill="FFFFFF" w:val="clear"/>
                  <w:tcMar>
                    <w:left w:w="19" w:type="dxa"/>
                  </w:tcMar>
                  <w:vAlign w:val="center"/>
                </w:tcPr>
                <w:p>
                  <w:pPr>
                    <w:pStyle w:val="Normal"/>
                    <w:shd w:val="clear" w:color="auto" w:fill="FFFFFF"/>
                    <w:spacing w:before="0" w:after="0"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4</w:t>
                  </w:r>
                </w:p>
              </w:tc>
              <w:tc>
                <w:tcPr>
                  <w:tcW w:w="1218" w:type="dxa"/>
                  <w:tcBorders>
                    <w:top w:val="single" w:sz="6" w:space="0" w:color="00000A"/>
                    <w:left w:val="single" w:sz="2" w:space="0" w:color="00000A"/>
                    <w:bottom w:val="single" w:sz="6" w:space="0" w:color="00000A"/>
                    <w:right w:val="single" w:sz="6" w:space="0" w:color="00000A"/>
                    <w:insideH w:val="single" w:sz="6" w:space="0" w:color="00000A"/>
                    <w:insideV w:val="single" w:sz="6" w:space="0" w:color="00000A"/>
                  </w:tcBorders>
                  <w:shd w:color="auto" w:fill="FFFFFF" w:val="clear"/>
                  <w:tcMar>
                    <w:left w:w="19" w:type="dxa"/>
                  </w:tcMar>
                  <w:vAlign w:val="center"/>
                </w:tcPr>
                <w:p>
                  <w:pPr>
                    <w:pStyle w:val="Normal"/>
                    <w:shd w:val="clear" w:color="auto" w:fill="FFFFFF"/>
                    <w:spacing w:before="0" w:after="0"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5</w:t>
                  </w:r>
                </w:p>
              </w:tc>
              <w:tc>
                <w:tcPr>
                  <w:tcW w:w="1316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2" w:space="0" w:color="00000A"/>
                    <w:insideH w:val="single" w:sz="6" w:space="0" w:color="00000A"/>
                    <w:insideV w:val="single" w:sz="2" w:space="0" w:color="00000A"/>
                  </w:tcBorders>
                  <w:shd w:color="auto" w:fill="FFFFFF" w:val="clear"/>
                  <w:tcMar>
                    <w:left w:w="4" w:type="dxa"/>
                  </w:tcMar>
                  <w:vAlign w:val="center"/>
                </w:tcPr>
                <w:p>
                  <w:pPr>
                    <w:pStyle w:val="Normal"/>
                    <w:shd w:val="clear" w:color="auto" w:fill="FFFFFF"/>
                    <w:spacing w:before="0" w:after="0"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6</w:t>
                  </w:r>
                </w:p>
              </w:tc>
              <w:tc>
                <w:tcPr>
                  <w:tcW w:w="1837" w:type="dxa"/>
                  <w:tcBorders>
                    <w:top w:val="single" w:sz="6" w:space="0" w:color="00000A"/>
                    <w:left w:val="single" w:sz="2" w:space="0" w:color="00000A"/>
                    <w:bottom w:val="single" w:sz="6" w:space="0" w:color="00000A"/>
                    <w:right w:val="single" w:sz="6" w:space="0" w:color="00000A"/>
                    <w:insideH w:val="single" w:sz="6" w:space="0" w:color="00000A"/>
                    <w:insideV w:val="single" w:sz="6" w:space="0" w:color="00000A"/>
                  </w:tcBorders>
                  <w:shd w:color="auto" w:fill="FFFFFF" w:val="clear"/>
                  <w:tcMar>
                    <w:left w:w="19" w:type="dxa"/>
                  </w:tcMar>
                  <w:vAlign w:val="center"/>
                </w:tcPr>
                <w:p>
                  <w:pPr>
                    <w:pStyle w:val="Normal"/>
                    <w:shd w:val="clear" w:color="auto" w:fill="FFFFFF"/>
                    <w:spacing w:before="0" w:after="0"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7</w:t>
                  </w:r>
                </w:p>
              </w:tc>
            </w:tr>
            <w:tr>
              <w:trPr/>
              <w:tc>
                <w:tcPr>
                  <w:tcW w:w="407" w:type="dxa"/>
                  <w:tcBorders>
                    <w:top w:val="single" w:sz="6" w:space="0" w:color="00000A"/>
                    <w:left w:val="single" w:sz="6" w:space="0" w:color="00000A"/>
                    <w:bottom w:val="single" w:sz="2" w:space="0" w:color="00000A"/>
                    <w:right w:val="single" w:sz="2" w:space="0" w:color="00000A"/>
                    <w:insideH w:val="single" w:sz="2" w:space="0" w:color="00000A"/>
                    <w:insideV w:val="single" w:sz="2" w:space="0" w:color="00000A"/>
                  </w:tcBorders>
                  <w:shd w:color="auto" w:fill="FFFFFF" w:val="clear"/>
                  <w:tcMar>
                    <w:left w:w="4" w:type="dxa"/>
                  </w:tcMar>
                  <w:vAlign w:val="center"/>
                </w:tcPr>
                <w:p>
                  <w:pPr>
                    <w:pStyle w:val="Normal"/>
                    <w:shd w:val="clear" w:color="auto" w:fill="FFFFFF"/>
                    <w:spacing w:before="0" w:after="0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2396" w:type="dxa"/>
                  <w:tcBorders>
                    <w:top w:val="single" w:sz="6" w:space="0" w:color="00000A"/>
                    <w:left w:val="single" w:sz="2" w:space="0" w:color="00000A"/>
                    <w:bottom w:val="single" w:sz="2" w:space="0" w:color="00000A"/>
                    <w:right w:val="single" w:sz="2" w:space="0" w:color="00000A"/>
                    <w:insideH w:val="single" w:sz="2" w:space="0" w:color="00000A"/>
                    <w:insideV w:val="single" w:sz="2" w:space="0" w:color="00000A"/>
                  </w:tcBorders>
                  <w:shd w:color="auto" w:fill="FFFFFF" w:val="clear"/>
                  <w:tcMar>
                    <w:left w:w="19" w:type="dxa"/>
                  </w:tcMar>
                  <w:vAlign w:val="center"/>
                </w:tcPr>
                <w:p>
                  <w:pPr>
                    <w:pStyle w:val="Normal"/>
                    <w:shd w:val="clear" w:color="auto" w:fill="FFFFFF"/>
                    <w:spacing w:before="0" w:after="0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1120" w:type="dxa"/>
                  <w:tcBorders>
                    <w:top w:val="single" w:sz="6" w:space="0" w:color="00000A"/>
                    <w:left w:val="single" w:sz="2" w:space="0" w:color="00000A"/>
                    <w:bottom w:val="single" w:sz="2" w:space="0" w:color="00000A"/>
                    <w:right w:val="single" w:sz="2" w:space="0" w:color="00000A"/>
                    <w:insideH w:val="single" w:sz="2" w:space="0" w:color="00000A"/>
                    <w:insideV w:val="single" w:sz="2" w:space="0" w:color="00000A"/>
                  </w:tcBorders>
                  <w:shd w:color="auto" w:fill="FFFFFF" w:val="clear"/>
                  <w:tcMar>
                    <w:left w:w="19" w:type="dxa"/>
                  </w:tcMar>
                  <w:vAlign w:val="center"/>
                </w:tcPr>
                <w:p>
                  <w:pPr>
                    <w:pStyle w:val="Normal"/>
                    <w:shd w:val="clear" w:color="auto" w:fill="FFFFFF"/>
                    <w:spacing w:before="0" w:after="0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1167" w:type="dxa"/>
                  <w:tcBorders>
                    <w:top w:val="single" w:sz="6" w:space="0" w:color="00000A"/>
                    <w:left w:val="single" w:sz="2" w:space="0" w:color="00000A"/>
                    <w:bottom w:val="single" w:sz="2" w:space="0" w:color="00000A"/>
                    <w:right w:val="single" w:sz="2" w:space="0" w:color="00000A"/>
                    <w:insideH w:val="single" w:sz="2" w:space="0" w:color="00000A"/>
                    <w:insideV w:val="single" w:sz="2" w:space="0" w:color="00000A"/>
                  </w:tcBorders>
                  <w:shd w:color="auto" w:fill="FFFFFF" w:val="clear"/>
                  <w:tcMar>
                    <w:left w:w="19" w:type="dxa"/>
                  </w:tcMar>
                  <w:vAlign w:val="center"/>
                </w:tcPr>
                <w:p>
                  <w:pPr>
                    <w:pStyle w:val="Normal"/>
                    <w:shd w:val="clear" w:color="auto" w:fill="FFFFFF"/>
                    <w:spacing w:before="0" w:after="0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1218" w:type="dxa"/>
                  <w:tcBorders>
                    <w:top w:val="single" w:sz="6" w:space="0" w:color="00000A"/>
                    <w:left w:val="single" w:sz="2" w:space="0" w:color="00000A"/>
                    <w:bottom w:val="single" w:sz="2" w:space="0" w:color="00000A"/>
                    <w:right w:val="single" w:sz="6" w:space="0" w:color="00000A"/>
                    <w:insideH w:val="single" w:sz="2" w:space="0" w:color="00000A"/>
                    <w:insideV w:val="single" w:sz="6" w:space="0" w:color="00000A"/>
                  </w:tcBorders>
                  <w:shd w:color="auto" w:fill="FFFFFF" w:val="clear"/>
                  <w:tcMar>
                    <w:left w:w="19" w:type="dxa"/>
                  </w:tcMar>
                  <w:vAlign w:val="center"/>
                </w:tcPr>
                <w:p>
                  <w:pPr>
                    <w:pStyle w:val="Normal"/>
                    <w:shd w:val="clear" w:color="auto" w:fill="FFFFFF"/>
                    <w:spacing w:before="0" w:after="0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1316" w:type="dxa"/>
                  <w:tcBorders>
                    <w:top w:val="single" w:sz="6" w:space="0" w:color="00000A"/>
                    <w:left w:val="single" w:sz="6" w:space="0" w:color="00000A"/>
                    <w:bottom w:val="single" w:sz="2" w:space="0" w:color="00000A"/>
                    <w:right w:val="single" w:sz="2" w:space="0" w:color="00000A"/>
                    <w:insideH w:val="single" w:sz="2" w:space="0" w:color="00000A"/>
                    <w:insideV w:val="single" w:sz="2" w:space="0" w:color="00000A"/>
                  </w:tcBorders>
                  <w:shd w:color="auto" w:fill="FFFFFF" w:val="clear"/>
                  <w:tcMar>
                    <w:left w:w="4" w:type="dxa"/>
                  </w:tcMar>
                  <w:vAlign w:val="center"/>
                </w:tcPr>
                <w:p>
                  <w:pPr>
                    <w:pStyle w:val="Normal"/>
                    <w:shd w:val="clear" w:color="auto" w:fill="FFFFFF"/>
                    <w:spacing w:before="0" w:after="0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1837" w:type="dxa"/>
                  <w:tcBorders>
                    <w:top w:val="single" w:sz="6" w:space="0" w:color="00000A"/>
                    <w:left w:val="single" w:sz="2" w:space="0" w:color="00000A"/>
                    <w:bottom w:val="single" w:sz="2" w:space="0" w:color="00000A"/>
                    <w:right w:val="single" w:sz="6" w:space="0" w:color="00000A"/>
                    <w:insideH w:val="single" w:sz="2" w:space="0" w:color="00000A"/>
                    <w:insideV w:val="single" w:sz="6" w:space="0" w:color="00000A"/>
                  </w:tcBorders>
                  <w:shd w:color="auto" w:fill="FFFFFF" w:val="clear"/>
                  <w:tcMar>
                    <w:left w:w="19" w:type="dxa"/>
                  </w:tcMar>
                  <w:vAlign w:val="center"/>
                </w:tcPr>
                <w:p>
                  <w:pPr>
                    <w:pStyle w:val="Normal"/>
                    <w:shd w:val="clear" w:color="auto" w:fill="FFFFFF"/>
                    <w:spacing w:before="0" w:after="0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 </w:t>
                  </w:r>
                </w:p>
              </w:tc>
            </w:tr>
            <w:tr>
              <w:trPr/>
              <w:tc>
                <w:tcPr>
                  <w:tcW w:w="407" w:type="dxa"/>
                  <w:tcBorders>
                    <w:top w:val="single" w:sz="2" w:space="0" w:color="00000A"/>
                    <w:left w:val="single" w:sz="6" w:space="0" w:color="00000A"/>
                    <w:bottom w:val="single" w:sz="6" w:space="0" w:color="00000A"/>
                    <w:right w:val="single" w:sz="2" w:space="0" w:color="00000A"/>
                    <w:insideH w:val="single" w:sz="6" w:space="0" w:color="00000A"/>
                    <w:insideV w:val="single" w:sz="2" w:space="0" w:color="00000A"/>
                  </w:tcBorders>
                  <w:shd w:color="auto" w:fill="FFFFFF" w:val="clear"/>
                  <w:tcMar>
                    <w:left w:w="4" w:type="dxa"/>
                  </w:tcMar>
                  <w:vAlign w:val="center"/>
                </w:tcPr>
                <w:p>
                  <w:pPr>
                    <w:pStyle w:val="Normal"/>
                    <w:shd w:val="clear" w:color="auto" w:fill="FFFFFF"/>
                    <w:spacing w:before="0" w:after="0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2396" w:type="dxa"/>
                  <w:tcBorders>
                    <w:top w:val="single" w:sz="2" w:space="0" w:color="00000A"/>
                    <w:left w:val="single" w:sz="2" w:space="0" w:color="00000A"/>
                    <w:bottom w:val="single" w:sz="6" w:space="0" w:color="00000A"/>
                    <w:right w:val="single" w:sz="2" w:space="0" w:color="00000A"/>
                    <w:insideH w:val="single" w:sz="6" w:space="0" w:color="00000A"/>
                    <w:insideV w:val="single" w:sz="2" w:space="0" w:color="00000A"/>
                  </w:tcBorders>
                  <w:shd w:color="auto" w:fill="FFFFFF" w:val="clear"/>
                  <w:tcMar>
                    <w:left w:w="19" w:type="dxa"/>
                  </w:tcMar>
                  <w:vAlign w:val="center"/>
                </w:tcPr>
                <w:p>
                  <w:pPr>
                    <w:pStyle w:val="Normal"/>
                    <w:shd w:val="clear" w:color="auto" w:fill="FFFFFF"/>
                    <w:spacing w:before="0" w:after="0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1120" w:type="dxa"/>
                  <w:tcBorders>
                    <w:top w:val="single" w:sz="2" w:space="0" w:color="00000A"/>
                    <w:left w:val="single" w:sz="2" w:space="0" w:color="00000A"/>
                    <w:bottom w:val="single" w:sz="6" w:space="0" w:color="00000A"/>
                    <w:right w:val="single" w:sz="2" w:space="0" w:color="00000A"/>
                    <w:insideH w:val="single" w:sz="6" w:space="0" w:color="00000A"/>
                    <w:insideV w:val="single" w:sz="2" w:space="0" w:color="00000A"/>
                  </w:tcBorders>
                  <w:shd w:color="auto" w:fill="FFFFFF" w:val="clear"/>
                  <w:tcMar>
                    <w:left w:w="19" w:type="dxa"/>
                  </w:tcMar>
                  <w:vAlign w:val="center"/>
                </w:tcPr>
                <w:p>
                  <w:pPr>
                    <w:pStyle w:val="Normal"/>
                    <w:shd w:val="clear" w:color="auto" w:fill="FFFFFF"/>
                    <w:spacing w:before="0" w:after="0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1167" w:type="dxa"/>
                  <w:tcBorders>
                    <w:top w:val="single" w:sz="2" w:space="0" w:color="00000A"/>
                    <w:left w:val="single" w:sz="2" w:space="0" w:color="00000A"/>
                    <w:bottom w:val="single" w:sz="6" w:space="0" w:color="00000A"/>
                    <w:right w:val="single" w:sz="2" w:space="0" w:color="00000A"/>
                    <w:insideH w:val="single" w:sz="6" w:space="0" w:color="00000A"/>
                    <w:insideV w:val="single" w:sz="2" w:space="0" w:color="00000A"/>
                  </w:tcBorders>
                  <w:shd w:color="auto" w:fill="FFFFFF" w:val="clear"/>
                  <w:tcMar>
                    <w:left w:w="19" w:type="dxa"/>
                  </w:tcMar>
                  <w:vAlign w:val="center"/>
                </w:tcPr>
                <w:p>
                  <w:pPr>
                    <w:pStyle w:val="Normal"/>
                    <w:shd w:val="clear" w:color="auto" w:fill="FFFFFF"/>
                    <w:spacing w:before="0" w:after="0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1218" w:type="dxa"/>
                  <w:tcBorders>
                    <w:top w:val="single" w:sz="2" w:space="0" w:color="00000A"/>
                    <w:left w:val="single" w:sz="2" w:space="0" w:color="00000A"/>
                    <w:bottom w:val="single" w:sz="6" w:space="0" w:color="00000A"/>
                    <w:right w:val="single" w:sz="6" w:space="0" w:color="00000A"/>
                    <w:insideH w:val="single" w:sz="6" w:space="0" w:color="00000A"/>
                    <w:insideV w:val="single" w:sz="6" w:space="0" w:color="00000A"/>
                  </w:tcBorders>
                  <w:shd w:color="auto" w:fill="FFFFFF" w:val="clear"/>
                  <w:tcMar>
                    <w:left w:w="19" w:type="dxa"/>
                  </w:tcMar>
                  <w:vAlign w:val="center"/>
                </w:tcPr>
                <w:p>
                  <w:pPr>
                    <w:pStyle w:val="Normal"/>
                    <w:shd w:val="clear" w:color="auto" w:fill="FFFFFF"/>
                    <w:spacing w:before="0" w:after="0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1316" w:type="dxa"/>
                  <w:tcBorders>
                    <w:top w:val="single" w:sz="2" w:space="0" w:color="00000A"/>
                    <w:left w:val="single" w:sz="6" w:space="0" w:color="00000A"/>
                    <w:bottom w:val="single" w:sz="6" w:space="0" w:color="00000A"/>
                    <w:right w:val="single" w:sz="2" w:space="0" w:color="00000A"/>
                    <w:insideH w:val="single" w:sz="6" w:space="0" w:color="00000A"/>
                    <w:insideV w:val="single" w:sz="2" w:space="0" w:color="00000A"/>
                  </w:tcBorders>
                  <w:shd w:color="auto" w:fill="FFFFFF" w:val="clear"/>
                  <w:tcMar>
                    <w:left w:w="4" w:type="dxa"/>
                  </w:tcMar>
                  <w:vAlign w:val="center"/>
                </w:tcPr>
                <w:p>
                  <w:pPr>
                    <w:pStyle w:val="Normal"/>
                    <w:shd w:val="clear" w:color="auto" w:fill="FFFFFF"/>
                    <w:spacing w:before="0" w:after="0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1837" w:type="dxa"/>
                  <w:tcBorders>
                    <w:top w:val="single" w:sz="2" w:space="0" w:color="00000A"/>
                    <w:left w:val="single" w:sz="2" w:space="0" w:color="00000A"/>
                    <w:bottom w:val="single" w:sz="6" w:space="0" w:color="00000A"/>
                    <w:right w:val="single" w:sz="6" w:space="0" w:color="00000A"/>
                    <w:insideH w:val="single" w:sz="6" w:space="0" w:color="00000A"/>
                    <w:insideV w:val="single" w:sz="6" w:space="0" w:color="00000A"/>
                  </w:tcBorders>
                  <w:shd w:color="auto" w:fill="FFFFFF" w:val="clear"/>
                  <w:tcMar>
                    <w:left w:w="19" w:type="dxa"/>
                  </w:tcMar>
                  <w:vAlign w:val="center"/>
                </w:tcPr>
                <w:p>
                  <w:pPr>
                    <w:pStyle w:val="Normal"/>
                    <w:shd w:val="clear" w:color="auto" w:fill="FFFFFF"/>
                    <w:spacing w:before="0" w:after="0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 </w:t>
                  </w:r>
                </w:p>
              </w:tc>
            </w:tr>
          </w:tbl>
          <w:p>
            <w:pPr>
              <w:pStyle w:val="Normal"/>
              <w:shd w:val="clear" w:color="auto" w:fill="FFFFFF"/>
              <w:spacing w:before="36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Итого заработной платы, в руб. __________________________________________________________</w:t>
            </w:r>
          </w:p>
          <w:p>
            <w:pPr>
              <w:pStyle w:val="Normal"/>
              <w:shd w:val="clear" w:color="auto" w:fill="FFFFFF"/>
              <w:spacing w:lineRule="exact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 Расчет стоимости выполнения работ</w:t>
            </w:r>
          </w:p>
          <w:p>
            <w:pPr>
              <w:pStyle w:val="Normal"/>
              <w:shd w:val="clear" w:color="auto" w:fill="FFFFFF"/>
              <w:spacing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2.1 Накладные расходы, %_______________________________________________________________</w:t>
            </w:r>
          </w:p>
          <w:p>
            <w:pPr>
              <w:pStyle w:val="Normal"/>
              <w:shd w:val="clear" w:color="auto" w:fill="FFFFFF"/>
              <w:spacing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2.2 Себестоимость работ ________________________________________________________________</w:t>
            </w:r>
          </w:p>
          <w:p>
            <w:pPr>
              <w:pStyle w:val="Normal"/>
              <w:shd w:val="clear" w:color="auto" w:fill="FFFFFF"/>
              <w:spacing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2.3 Уровень рентабельности, % __________________________________________________________</w:t>
            </w:r>
          </w:p>
          <w:p>
            <w:pPr>
              <w:pStyle w:val="Normal"/>
              <w:shd w:val="clear" w:color="auto" w:fill="FFFFFF"/>
              <w:spacing w:before="0" w:after="0"/>
              <w:rPr/>
            </w:pPr>
            <w:r>
              <w:rPr>
                <w:rFonts w:ascii="Times New Roman" w:hAnsi="Times New Roman"/>
                <w:b/>
                <w:bCs/>
              </w:rPr>
              <w:t xml:space="preserve">Итого </w:t>
            </w:r>
            <w:r>
              <w:rPr>
                <w:rFonts w:ascii="Times New Roman" w:hAnsi="Times New Roman"/>
              </w:rPr>
              <w:t>________________________________________________________________________________</w:t>
            </w:r>
          </w:p>
          <w:p>
            <w:pPr>
              <w:pStyle w:val="Normal"/>
              <w:shd w:val="clear" w:color="auto" w:fill="FFFFFF"/>
              <w:spacing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 Командировочные расходы (по предварительному расчету)_________________________________</w:t>
            </w:r>
          </w:p>
          <w:p>
            <w:pPr>
              <w:pStyle w:val="Normal"/>
              <w:shd w:val="clear" w:color="auto" w:fill="FFFFFF"/>
              <w:spacing w:before="0" w:after="0"/>
              <w:rPr/>
            </w:pPr>
            <w:r>
              <w:rPr>
                <w:rFonts w:ascii="Times New Roman" w:hAnsi="Times New Roman"/>
                <w:b/>
              </w:rPr>
              <w:t>Всего (руб.)</w:t>
            </w:r>
            <w:r>
              <w:rPr>
                <w:rFonts w:ascii="Times New Roman" w:hAnsi="Times New Roman"/>
              </w:rPr>
              <w:t xml:space="preserve"> __________________________________________________________________________</w:t>
            </w:r>
          </w:p>
          <w:p>
            <w:pPr>
              <w:pStyle w:val="Normal"/>
              <w:shd w:val="clear" w:color="auto" w:fill="FFFFFF"/>
              <w:spacing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_____________________________________________________________________________________</w:t>
            </w:r>
          </w:p>
          <w:p>
            <w:pPr>
              <w:pStyle w:val="Normal"/>
              <w:shd w:val="clear" w:color="auto" w:fill="FFFFFF"/>
              <w:spacing w:before="0" w:after="0"/>
              <w:ind w:firstLine="207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(сумма прописью)</w:t>
            </w:r>
          </w:p>
          <w:p>
            <w:pPr>
              <w:pStyle w:val="Normal"/>
              <w:shd w:val="clear" w:color="auto" w:fill="FFFFFF"/>
              <w:spacing w:before="48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Составил:            /должность, организация/                                    /подпись/   /расшифровка подписи/</w:t>
            </w:r>
          </w:p>
          <w:p>
            <w:pPr>
              <w:pStyle w:val="Normal"/>
              <w:shd w:val="clear" w:color="auto" w:fill="FFFFFF"/>
              <w:spacing w:before="48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  <w:p>
            <w:pPr>
              <w:pStyle w:val="Normal"/>
              <w:shd w:val="clear" w:color="auto" w:fill="FFFFFF"/>
              <w:spacing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Проверил:            /должность, организация/                                    /подпись/   /расшифровка подписи/</w:t>
            </w:r>
          </w:p>
        </w:tc>
      </w:tr>
    </w:tbl>
    <w:p>
      <w:pPr>
        <w:sectPr>
          <w:type w:val="nextPage"/>
          <w:pgSz w:w="11906" w:h="16838"/>
          <w:pgMar w:left="1304" w:right="924" w:header="0" w:top="851" w:footer="0" w:bottom="720" w:gutter="0"/>
          <w:pgNumType w:fmt="decimal"/>
          <w:formProt w:val="false"/>
          <w:textDirection w:val="lrTb"/>
          <w:docGrid w:type="default" w:linePitch="360" w:charSpace="4294965247"/>
        </w:sectPr>
      </w:pP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b/>
        </w:rPr>
      </w:pPr>
      <w:r>
        <w:rPr>
          <w:rFonts w:ascii="Times New Roman" w:hAnsi="Times New Roman"/>
          <w:b/>
        </w:rPr>
        <w:t xml:space="preserve">ПОЯСНИТЕЛЬНАЯ ЗАПИСКА 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b/>
        </w:rPr>
      </w:pPr>
      <w:r>
        <w:rPr>
          <w:rFonts w:ascii="Times New Roman" w:hAnsi="Times New Roman"/>
          <w:b/>
        </w:rPr>
        <w:t>по заполнению формы №3п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b/>
        </w:rPr>
      </w:pPr>
      <w:r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 xml:space="preserve">при составлении смет на шеф-монтажные работы </w:t>
      </w:r>
    </w:p>
    <w:p>
      <w:pPr>
        <w:pStyle w:val="Normal"/>
        <w:tabs>
          <w:tab w:val="left" w:pos="1080" w:leader="none"/>
        </w:tabs>
        <w:spacing w:lineRule="auto" w:line="240" w:before="0" w:after="0"/>
        <w:ind w:firstLine="5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numPr>
          <w:ilvl w:val="0"/>
          <w:numId w:val="4"/>
        </w:numPr>
        <w:tabs>
          <w:tab w:val="left" w:pos="993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Calibri"/>
          <w:lang w:eastAsia="en-US"/>
        </w:rPr>
      </w:pPr>
      <w:r>
        <w:rPr>
          <w:rFonts w:eastAsia="Calibri" w:ascii="Times New Roman" w:hAnsi="Times New Roman"/>
          <w:lang w:eastAsia="en-US"/>
        </w:rPr>
        <w:t>При составлении сметного расчета по трудозатратам (форма №3п), обоснование расчета трудозатрат представляется заказчику по его просьбе. Сметные расчеты составляются в ценах текущего периода.</w:t>
      </w:r>
    </w:p>
    <w:p>
      <w:pPr>
        <w:pStyle w:val="Normal"/>
        <w:numPr>
          <w:ilvl w:val="0"/>
          <w:numId w:val="4"/>
        </w:numPr>
        <w:tabs>
          <w:tab w:val="left" w:pos="993" w:leader="none"/>
          <w:tab w:val="left" w:pos="1080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Calibri"/>
          <w:lang w:eastAsia="en-US"/>
        </w:rPr>
      </w:pPr>
      <w:r>
        <w:rPr>
          <w:rFonts w:eastAsia="Calibri" w:ascii="Times New Roman" w:hAnsi="Times New Roman"/>
          <w:lang w:eastAsia="en-US"/>
        </w:rPr>
        <w:t>Расчетом по трудозатратам (форма №3п) рекомендуется определять стоимость работ, цены на которые отсутствуют в СБЦ и СЦ, внесенных в ФРСН.</w:t>
      </w:r>
    </w:p>
    <w:p>
      <w:pPr>
        <w:pStyle w:val="Normal"/>
        <w:numPr>
          <w:ilvl w:val="0"/>
          <w:numId w:val="4"/>
        </w:numPr>
        <w:tabs>
          <w:tab w:val="left" w:pos="993" w:leader="none"/>
          <w:tab w:val="left" w:pos="1080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Calibri"/>
          <w:lang w:eastAsia="en-US"/>
        </w:rPr>
      </w:pPr>
      <w:r>
        <w:rPr>
          <w:rFonts w:eastAsia="Calibri" w:ascii="Times New Roman" w:hAnsi="Times New Roman"/>
          <w:lang w:eastAsia="en-US"/>
        </w:rPr>
        <w:t>Форма сметы для определения затрат по себестоимости и уровню рентабельности (форма №3п) приведена в образце 3П Приложения 2.</w:t>
      </w:r>
    </w:p>
    <w:p>
      <w:pPr>
        <w:pStyle w:val="Normal"/>
        <w:numPr>
          <w:ilvl w:val="0"/>
          <w:numId w:val="4"/>
        </w:numPr>
        <w:tabs>
          <w:tab w:val="left" w:pos="993" w:leader="none"/>
          <w:tab w:val="left" w:pos="1080" w:leader="none"/>
        </w:tabs>
        <w:spacing w:lineRule="auto" w:line="240" w:before="0" w:after="0"/>
        <w:ind w:left="0" w:firstLine="709"/>
        <w:contextualSpacing/>
        <w:jc w:val="both"/>
        <w:rPr/>
      </w:pPr>
      <w:r>
        <w:rPr>
          <w:rFonts w:ascii="Times New Roman" w:hAnsi="Times New Roman"/>
        </w:rPr>
        <w:t xml:space="preserve">Результаты вычислений и итоговые данные по разделам расчета </w:t>
      </w:r>
      <w:r>
        <w:rPr>
          <w:rFonts w:ascii="Times New Roman" w:hAnsi="Times New Roman"/>
          <w:u w:val="single"/>
        </w:rPr>
        <w:t>округлять до целых рублей.</w:t>
      </w:r>
    </w:p>
    <w:p>
      <w:pPr>
        <w:pStyle w:val="Normal"/>
        <w:numPr>
          <w:ilvl w:val="0"/>
          <w:numId w:val="4"/>
        </w:numPr>
        <w:tabs>
          <w:tab w:val="left" w:pos="993" w:leader="none"/>
          <w:tab w:val="left" w:pos="1080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Calibri"/>
          <w:lang w:eastAsia="en-US"/>
        </w:rPr>
      </w:pPr>
      <w:r>
        <w:rPr>
          <w:rFonts w:eastAsia="Calibri" w:ascii="Times New Roman" w:hAnsi="Times New Roman"/>
          <w:lang w:eastAsia="en-US"/>
        </w:rPr>
        <w:t>Особенности заполнения формы 3п.</w:t>
      </w:r>
    </w:p>
    <w:p>
      <w:pPr>
        <w:pStyle w:val="Normal"/>
        <w:tabs>
          <w:tab w:val="left" w:pos="993" w:leader="none"/>
        </w:tabs>
        <w:spacing w:lineRule="auto" w:line="240" w:before="0" w:after="0"/>
        <w:ind w:firstLine="709"/>
        <w:jc w:val="both"/>
        <w:rPr>
          <w:rFonts w:ascii="Times New Roman" w:hAnsi="Times New Roman"/>
          <w:u w:val="single"/>
        </w:rPr>
      </w:pPr>
      <w:r>
        <w:rPr>
          <w:rFonts w:ascii="Times New Roman" w:hAnsi="Times New Roman"/>
          <w:u w:val="single"/>
        </w:rPr>
        <w:t>Раздел 1. Расчет заработной платы:</w:t>
      </w:r>
    </w:p>
    <w:p>
      <w:pPr>
        <w:pStyle w:val="Normal"/>
        <w:numPr>
          <w:ilvl w:val="0"/>
          <w:numId w:val="3"/>
        </w:numPr>
        <w:tabs>
          <w:tab w:val="left" w:pos="993" w:leader="none"/>
          <w:tab w:val="left" w:pos="1080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Calibri"/>
          <w:lang w:eastAsia="en-US"/>
        </w:rPr>
      </w:pPr>
      <w:r>
        <w:rPr>
          <w:rFonts w:eastAsia="Calibri" w:ascii="Times New Roman" w:hAnsi="Times New Roman"/>
          <w:lang w:eastAsia="en-US"/>
        </w:rPr>
        <w:t>в графе 1 приводится нумерация выполняемых работ;</w:t>
      </w:r>
    </w:p>
    <w:p>
      <w:pPr>
        <w:pStyle w:val="Normal"/>
        <w:numPr>
          <w:ilvl w:val="0"/>
          <w:numId w:val="3"/>
        </w:numPr>
        <w:tabs>
          <w:tab w:val="left" w:pos="993" w:leader="none"/>
          <w:tab w:val="left" w:pos="1080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Calibri"/>
          <w:lang w:eastAsia="en-US"/>
        </w:rPr>
      </w:pPr>
      <w:r>
        <w:rPr>
          <w:rFonts w:eastAsia="Calibri" w:ascii="Times New Roman" w:hAnsi="Times New Roman"/>
          <w:lang w:eastAsia="en-US"/>
        </w:rPr>
        <w:t>в графе 2 приводится наименование выполняемых работ;</w:t>
      </w:r>
    </w:p>
    <w:p>
      <w:pPr>
        <w:pStyle w:val="Normal"/>
        <w:numPr>
          <w:ilvl w:val="0"/>
          <w:numId w:val="3"/>
        </w:numPr>
        <w:tabs>
          <w:tab w:val="left" w:pos="993" w:leader="none"/>
          <w:tab w:val="left" w:pos="1080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Calibri"/>
          <w:lang w:eastAsia="en-US"/>
        </w:rPr>
      </w:pPr>
      <w:r>
        <w:rPr>
          <w:rFonts w:eastAsia="Calibri" w:ascii="Times New Roman" w:hAnsi="Times New Roman"/>
          <w:lang w:eastAsia="en-US"/>
        </w:rPr>
        <w:t>в графе 3 указывается количество привлекаемых работников;</w:t>
      </w:r>
    </w:p>
    <w:p>
      <w:pPr>
        <w:pStyle w:val="Normal"/>
        <w:numPr>
          <w:ilvl w:val="0"/>
          <w:numId w:val="3"/>
        </w:numPr>
        <w:tabs>
          <w:tab w:val="left" w:pos="993" w:leader="none"/>
          <w:tab w:val="left" w:pos="1080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Calibri"/>
          <w:lang w:eastAsia="en-US"/>
        </w:rPr>
      </w:pPr>
      <w:r>
        <w:rPr>
          <w:rFonts w:eastAsia="Calibri" w:ascii="Times New Roman" w:hAnsi="Times New Roman"/>
          <w:lang w:eastAsia="en-US"/>
        </w:rPr>
        <w:t>в графе 4 указывается наименование должности (при необходимости с указанием конкретных фамилий) работников, участвующих в выполнении каждой из приведенных работ в графе 2 работ;</w:t>
      </w:r>
    </w:p>
    <w:p>
      <w:pPr>
        <w:pStyle w:val="Normal"/>
        <w:numPr>
          <w:ilvl w:val="0"/>
          <w:numId w:val="3"/>
        </w:numPr>
        <w:tabs>
          <w:tab w:val="left" w:pos="993" w:leader="none"/>
          <w:tab w:val="left" w:pos="1080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Calibri"/>
          <w:lang w:eastAsia="en-US"/>
        </w:rPr>
      </w:pPr>
      <w:r>
        <w:rPr>
          <w:rFonts w:eastAsia="Calibri" w:ascii="Times New Roman" w:hAnsi="Times New Roman"/>
          <w:lang w:eastAsia="en-US"/>
        </w:rPr>
        <w:t>в графе 5 для каждой должностной группы (при необходимости с указанием конкретных фамилий) работников, участвующих в выполнении данной работы, указывается общее количество рабочих дней, необходимых данной квалификационной группе для её выполнения; рабочее время не должно превышать значений, определенных по нормативным временным нормам;</w:t>
      </w:r>
    </w:p>
    <w:p>
      <w:pPr>
        <w:pStyle w:val="Normal"/>
        <w:numPr>
          <w:ilvl w:val="0"/>
          <w:numId w:val="3"/>
        </w:numPr>
        <w:tabs>
          <w:tab w:val="left" w:pos="993" w:leader="none"/>
          <w:tab w:val="left" w:pos="1080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Calibri"/>
          <w:lang w:eastAsia="en-US"/>
        </w:rPr>
      </w:pPr>
      <w:r>
        <w:rPr>
          <w:rFonts w:eastAsia="Calibri" w:ascii="Times New Roman" w:hAnsi="Times New Roman"/>
          <w:lang w:eastAsia="en-US"/>
        </w:rPr>
        <w:t>в графе 6 приводятся данные по стоимости 1 человеко-дня в рублях по категориям работников. Стоимость 1 человеко-дня непосредственных исполнителей приводится по штатному расписанию основного производственного персонала исходя из установленных в нем окладов, а также выплат стимулирующего и компенсирующего характера, установленных Положением о премировании работников предприятия.</w:t>
      </w:r>
    </w:p>
    <w:p>
      <w:pPr>
        <w:pStyle w:val="Normal"/>
        <w:numPr>
          <w:ilvl w:val="0"/>
          <w:numId w:val="3"/>
        </w:numPr>
        <w:tabs>
          <w:tab w:val="left" w:pos="993" w:leader="none"/>
          <w:tab w:val="left" w:pos="1080" w:leader="none"/>
        </w:tabs>
        <w:spacing w:lineRule="auto" w:line="240" w:before="0" w:after="0"/>
        <w:ind w:left="0" w:firstLine="709"/>
        <w:contextualSpacing/>
        <w:jc w:val="both"/>
        <w:rPr/>
      </w:pPr>
      <w:r>
        <w:rPr>
          <w:rFonts w:eastAsia="Calibri" w:ascii="Times New Roman" w:hAnsi="Times New Roman"/>
          <w:lang w:eastAsia="en-US"/>
        </w:rPr>
        <w:t>в графе 7 указывается заработная плата в рублях (</w:t>
      </w:r>
      <w:r>
        <w:rPr>
          <w:rFonts w:eastAsia="Calibri" w:ascii="Times New Roman" w:hAnsi="Times New Roman"/>
          <w:b/>
          <w:u w:val="single"/>
          <w:lang w:eastAsia="en-US"/>
        </w:rPr>
        <w:t>результат перемножения граф 5 и 6</w:t>
      </w:r>
      <w:r>
        <w:rPr>
          <w:rFonts w:eastAsia="Calibri" w:ascii="Times New Roman" w:hAnsi="Times New Roman"/>
          <w:lang w:eastAsia="en-US"/>
        </w:rPr>
        <w:t>);</w:t>
      </w:r>
    </w:p>
    <w:p>
      <w:pPr>
        <w:pStyle w:val="Normal"/>
        <w:tabs>
          <w:tab w:val="left" w:pos="993" w:leader="none"/>
          <w:tab w:val="left" w:pos="1080" w:leader="none"/>
        </w:tabs>
        <w:spacing w:lineRule="auto" w:line="240" w:before="0" w:after="0"/>
        <w:ind w:firstLine="709"/>
        <w:contextualSpacing/>
        <w:jc w:val="both"/>
        <w:rPr>
          <w:rFonts w:ascii="Times New Roman" w:hAnsi="Times New Roman" w:eastAsia="Calibri"/>
          <w:lang w:eastAsia="en-US"/>
        </w:rPr>
      </w:pPr>
      <w:r>
        <w:rPr>
          <w:rFonts w:eastAsia="Calibri" w:ascii="Times New Roman" w:hAnsi="Times New Roman"/>
          <w:lang w:eastAsia="en-US"/>
        </w:rPr>
        <w:t>Данные по количеству человек, дней и категорий непосредственных исполнителей, приведенные в графах 3, 4, 5, указываются в соответствии с экспертной оценкой трудоемкости этих работ или на базе имеющихся в организации проработок, определяющих нормативы их трудоемкости.</w:t>
      </w:r>
    </w:p>
    <w:p>
      <w:pPr>
        <w:pStyle w:val="Normal"/>
        <w:tabs>
          <w:tab w:val="left" w:pos="993" w:leader="none"/>
          <w:tab w:val="left" w:pos="1080" w:leader="none"/>
        </w:tabs>
        <w:spacing w:lineRule="auto" w:line="240" w:before="0" w:after="0"/>
        <w:ind w:firstLine="709"/>
        <w:jc w:val="both"/>
        <w:rPr>
          <w:rFonts w:ascii="Times New Roman" w:hAnsi="Times New Roman"/>
          <w:u w:val="single"/>
        </w:rPr>
      </w:pPr>
      <w:r>
        <w:rPr>
          <w:rFonts w:ascii="Times New Roman" w:hAnsi="Times New Roman"/>
          <w:u w:val="single"/>
        </w:rPr>
        <w:t>Раздел 2. Расчет стоимости выполнения работ</w:t>
      </w:r>
    </w:p>
    <w:p>
      <w:pPr>
        <w:pStyle w:val="Normal"/>
        <w:numPr>
          <w:ilvl w:val="0"/>
          <w:numId w:val="3"/>
        </w:numPr>
        <w:tabs>
          <w:tab w:val="left" w:pos="993" w:leader="none"/>
          <w:tab w:val="left" w:pos="1080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Calibri"/>
          <w:lang w:eastAsia="en-US"/>
        </w:rPr>
      </w:pPr>
      <w:r>
        <w:rPr>
          <w:rFonts w:eastAsia="Calibri" w:ascii="Times New Roman" w:hAnsi="Times New Roman"/>
          <w:lang w:eastAsia="en-US"/>
        </w:rPr>
        <w:t>в пункте 2.1 указываются накладные расходы. Данные по оплате труда, накладным расходам, уровню рентабельности организации принимаются в соответствии с плановыми показателями на соответствующий период выполнения работ и утверждаются внутренним распорядительным документом организации.</w:t>
      </w:r>
    </w:p>
    <w:p>
      <w:pPr>
        <w:pStyle w:val="Normal"/>
        <w:numPr>
          <w:ilvl w:val="0"/>
          <w:numId w:val="3"/>
        </w:numPr>
        <w:tabs>
          <w:tab w:val="left" w:pos="993" w:leader="none"/>
          <w:tab w:val="left" w:pos="1080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Calibri"/>
          <w:lang w:eastAsia="en-US"/>
        </w:rPr>
      </w:pPr>
      <w:r>
        <w:rPr>
          <w:rFonts w:eastAsia="Calibri" w:ascii="Times New Roman" w:hAnsi="Times New Roman"/>
          <w:lang w:eastAsia="en-US"/>
        </w:rPr>
        <w:t>в пункте 2.2 производится расчет себестоимости работ на основании выполненного в разделе 1 расчета заработной платы и накладных расходов (сложение итога графы 7 раздела 1 и пункта 2.1);</w:t>
      </w:r>
    </w:p>
    <w:p>
      <w:pPr>
        <w:pStyle w:val="Normal"/>
        <w:numPr>
          <w:ilvl w:val="0"/>
          <w:numId w:val="3"/>
        </w:numPr>
        <w:tabs>
          <w:tab w:val="left" w:pos="993" w:leader="none"/>
          <w:tab w:val="left" w:pos="1080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Calibri"/>
          <w:lang w:eastAsia="en-US"/>
        </w:rPr>
      </w:pPr>
      <w:r>
        <w:rPr>
          <w:rFonts w:eastAsia="Calibri" w:ascii="Times New Roman" w:hAnsi="Times New Roman"/>
          <w:lang w:eastAsia="en-US"/>
        </w:rPr>
        <w:t>в пункте 2.3 указывается уровень рентабельности (размер сметной прибыли), принимается по данным организации в соответствии с финансовым планом;</w:t>
      </w:r>
    </w:p>
    <w:p>
      <w:pPr>
        <w:pStyle w:val="Normal"/>
        <w:numPr>
          <w:ilvl w:val="0"/>
          <w:numId w:val="3"/>
        </w:numPr>
        <w:tabs>
          <w:tab w:val="left" w:pos="993" w:leader="none"/>
          <w:tab w:val="left" w:pos="1080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Calibri"/>
          <w:lang w:eastAsia="en-US"/>
        </w:rPr>
      </w:pPr>
      <w:r>
        <w:rPr>
          <w:rFonts w:eastAsia="Calibri" w:ascii="Times New Roman" w:hAnsi="Times New Roman"/>
          <w:lang w:eastAsia="en-US"/>
        </w:rPr>
        <w:t>уровень рентабельности по отношению к себестоимости может составлять до 15%.</w:t>
      </w:r>
    </w:p>
    <w:p>
      <w:pPr>
        <w:pStyle w:val="Normal"/>
        <w:tabs>
          <w:tab w:val="left" w:pos="993" w:leader="none"/>
          <w:tab w:val="left" w:pos="1080" w:leader="none"/>
        </w:tabs>
        <w:spacing w:lineRule="auto" w:line="240" w:before="0" w:after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К сметной документации необходимо приложить все справочные данные по вышеуказанным экономическим характеристикам предприятия в форме официальной справки (образец в Приложении №1 к пояснительной записке по заполнению формы 3П).</w:t>
      </w:r>
    </w:p>
    <w:p>
      <w:pPr>
        <w:pStyle w:val="Normal"/>
        <w:tabs>
          <w:tab w:val="left" w:pos="993" w:leader="none"/>
          <w:tab w:val="left" w:pos="1080" w:leader="none"/>
        </w:tabs>
        <w:spacing w:lineRule="auto" w:line="240" w:before="0" w:after="0"/>
        <w:ind w:firstLine="709"/>
        <w:jc w:val="both"/>
        <w:rPr>
          <w:rFonts w:ascii="Times New Roman" w:hAnsi="Times New Roman"/>
          <w:u w:val="single"/>
        </w:rPr>
      </w:pPr>
      <w:r>
        <w:rPr>
          <w:rFonts w:ascii="Times New Roman" w:hAnsi="Times New Roman"/>
          <w:u w:val="single"/>
        </w:rPr>
        <w:t>Раздел 3. Расчет командировочных расходов.</w:t>
      </w:r>
    </w:p>
    <w:p>
      <w:pPr>
        <w:pStyle w:val="Normal"/>
        <w:tabs>
          <w:tab w:val="left" w:pos="993" w:leader="none"/>
        </w:tabs>
        <w:spacing w:lineRule="auto" w:line="240" w:before="0" w:after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Командировочные расходы включаются в сметный расчет отдельной строкой (пункт 3 формы 3П) по отдельно выполненному расчету (приложение № 2) с расшифровкой затрат на проезд, проживание, суточные расходы. </w:t>
      </w:r>
    </w:p>
    <w:p>
      <w:pPr>
        <w:pStyle w:val="Normal"/>
        <w:tabs>
          <w:tab w:val="left" w:pos="993" w:leader="none"/>
        </w:tabs>
        <w:spacing w:lineRule="auto" w:line="240" w:before="0" w:after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Стоимость проезда необходимо указать по каждому виду транспорта отдельно туда и отдельно обратно.</w:t>
      </w:r>
    </w:p>
    <w:p>
      <w:pPr>
        <w:pStyle w:val="Normal"/>
        <w:tabs>
          <w:tab w:val="left" w:pos="993" w:leader="none"/>
        </w:tabs>
        <w:spacing w:lineRule="auto" w:line="240" w:before="0" w:after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Размер расходов на проезд и стоимость проживания в гостинице определяется на момент составления расчета.</w:t>
      </w:r>
    </w:p>
    <w:p>
      <w:pPr>
        <w:pStyle w:val="Normal"/>
        <w:tabs>
          <w:tab w:val="left" w:pos="993" w:leader="none"/>
          <w:tab w:val="left" w:pos="1080" w:leader="none"/>
        </w:tabs>
        <w:spacing w:lineRule="auto" w:line="240" w:before="0" w:after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Размеры возмещения расходов, связанных со служебными командировками, определяются коллективным договором и/или локальным нормативным актом организации–исполнителя, но не выше нормативов возмещения расходов, связанных со служебными командировками, установленных локальным нормативным актом организации–заказчика.</w:t>
      </w:r>
    </w:p>
    <w:p>
      <w:pPr>
        <w:pStyle w:val="Normal"/>
        <w:tabs>
          <w:tab w:val="left" w:pos="993" w:leader="none"/>
          <w:tab w:val="left" w:pos="1080" w:leader="none"/>
        </w:tabs>
        <w:spacing w:lineRule="auto" w:line="240" w:before="0" w:after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Лимиты командировочных расходов:</w:t>
      </w:r>
    </w:p>
    <w:p>
      <w:pPr>
        <w:pStyle w:val="Normal"/>
        <w:numPr>
          <w:ilvl w:val="0"/>
          <w:numId w:val="6"/>
        </w:numPr>
        <w:tabs>
          <w:tab w:val="left" w:pos="993" w:leader="none"/>
          <w:tab w:val="left" w:pos="1080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Calibri"/>
          <w:lang w:eastAsia="en-US"/>
        </w:rPr>
      </w:pPr>
      <w:r>
        <w:rPr>
          <w:rFonts w:eastAsia="Calibri" w:ascii="Times New Roman" w:hAnsi="Times New Roman"/>
          <w:lang w:eastAsia="en-US"/>
        </w:rPr>
        <w:t>суточные - 700 руб./сутки;</w:t>
      </w:r>
    </w:p>
    <w:p>
      <w:pPr>
        <w:pStyle w:val="Normal"/>
        <w:numPr>
          <w:ilvl w:val="0"/>
          <w:numId w:val="6"/>
        </w:numPr>
        <w:tabs>
          <w:tab w:val="left" w:pos="993" w:leader="none"/>
          <w:tab w:val="left" w:pos="1080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Calibri"/>
          <w:lang w:eastAsia="en-US"/>
        </w:rPr>
      </w:pPr>
      <w:r>
        <w:rPr>
          <w:rFonts w:eastAsia="Calibri" w:ascii="Times New Roman" w:hAnsi="Times New Roman"/>
          <w:lang w:eastAsia="en-US"/>
        </w:rPr>
        <w:t>проживание - до 5000 руб./сутки;</w:t>
      </w:r>
    </w:p>
    <w:p>
      <w:pPr>
        <w:pStyle w:val="Normal"/>
        <w:numPr>
          <w:ilvl w:val="0"/>
          <w:numId w:val="6"/>
        </w:numPr>
        <w:tabs>
          <w:tab w:val="left" w:pos="993" w:leader="none"/>
          <w:tab w:val="left" w:pos="1080" w:leader="none"/>
        </w:tabs>
        <w:spacing w:lineRule="auto" w:line="240" w:before="0" w:after="0"/>
        <w:ind w:left="0" w:firstLine="709"/>
        <w:contextualSpacing/>
        <w:jc w:val="both"/>
        <w:rPr/>
      </w:pPr>
      <w:r>
        <w:rPr>
          <w:rFonts w:eastAsia="Calibri" w:ascii="Times New Roman" w:hAnsi="Times New Roman"/>
          <w:lang w:eastAsia="en-US"/>
        </w:rPr>
        <w:t>проезд: поезд (купе) или самолет (</w:t>
      </w:r>
      <w:r>
        <w:rPr>
          <w:rFonts w:ascii="Times New Roman" w:hAnsi="Times New Roman"/>
          <w:color w:val="000000"/>
        </w:rPr>
        <w:t>класс–эконом с багажом до 20 (двадцати) кг, ручная кладь до 10 (десяти) кг</w:t>
      </w:r>
      <w:r>
        <w:rPr>
          <w:rFonts w:eastAsia="Calibri" w:ascii="Times New Roman" w:hAnsi="Times New Roman"/>
          <w:lang w:eastAsia="en-US"/>
        </w:rPr>
        <w:t>).</w:t>
      </w:r>
    </w:p>
    <w:p>
      <w:pPr>
        <w:pStyle w:val="Normal"/>
        <w:tabs>
          <w:tab w:val="left" w:pos="567" w:leader="none"/>
        </w:tabs>
        <w:spacing w:lineRule="auto" w:line="240" w:before="0" w:after="0"/>
        <w:ind w:firstLine="709"/>
        <w:contextualSpacing/>
        <w:jc w:val="both"/>
        <w:rPr/>
      </w:pPr>
      <w:r>
        <w:rPr>
          <w:rFonts w:eastAsia="Calibri" w:ascii="Times New Roman" w:hAnsi="Times New Roman"/>
          <w:lang w:eastAsia="en-US"/>
        </w:rPr>
        <w:t xml:space="preserve">При учете командировочных расходов стоимость проезда (авиа-, ж/д, …) и проживания определяется </w:t>
      </w:r>
      <w:r>
        <w:rPr>
          <w:rFonts w:ascii="Times New Roman" w:hAnsi="Times New Roman"/>
        </w:rPr>
        <w:t>Методом анализа ТКП (Приложение №4.1 к пояснительной записке по заполнению формы 3П)</w:t>
      </w:r>
    </w:p>
    <w:p>
      <w:pPr>
        <w:pStyle w:val="Normal"/>
        <w:tabs>
          <w:tab w:val="left" w:pos="993" w:leader="none"/>
        </w:tabs>
        <w:spacing w:lineRule="auto" w:line="240" w:before="0" w:after="0"/>
        <w:ind w:firstLine="567"/>
        <w:jc w:val="both"/>
        <w:rPr>
          <w:rFonts w:ascii="Times New Roman" w:hAnsi="Times New Roman" w:eastAsia="Calibri"/>
          <w:lang w:eastAsia="en-US"/>
        </w:rPr>
      </w:pPr>
      <w:r>
        <w:rPr>
          <w:rFonts w:eastAsia="Calibri" w:ascii="Times New Roman" w:hAnsi="Times New Roman"/>
          <w:lang w:eastAsia="en-US"/>
        </w:rPr>
        <w:t>При наличии командировочных расходов необходимо составлять общий реестр стоимости проездных билетов с разбивкой по сметам, к которым они относятся.</w:t>
      </w:r>
      <w:r>
        <w:br w:type="page"/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Приложение №1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пояснительной записке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по заполнению формы 3П</w:t>
      </w:r>
    </w:p>
    <w:p>
      <w:pPr>
        <w:pStyle w:val="Normal"/>
        <w:jc w:val="center"/>
        <w:rPr>
          <w:rFonts w:ascii="Times New Roman" w:hAnsi="Times New Roman"/>
          <w:b/>
          <w:b/>
        </w:rPr>
      </w:pPr>
      <w:r>
        <w:rPr>
          <w:rFonts w:ascii="Times New Roman" w:hAnsi="Times New Roman"/>
          <w:b/>
        </w:rPr>
      </w:r>
    </w:p>
    <w:p>
      <w:pPr>
        <w:pStyle w:val="Normal"/>
        <w:jc w:val="center"/>
        <w:rPr>
          <w:rFonts w:ascii="Times New Roman" w:hAnsi="Times New Roman"/>
          <w:b/>
          <w:b/>
        </w:rPr>
      </w:pPr>
      <w:r>
        <w:rPr>
          <w:rFonts w:ascii="Times New Roman" w:hAnsi="Times New Roman"/>
          <w:b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b/>
        </w:rPr>
      </w:pPr>
      <w:r>
        <w:rPr>
          <w:rFonts w:ascii="Times New Roman" w:hAnsi="Times New Roman"/>
          <w:b/>
        </w:rPr>
        <w:t>СПРАВКА от__________ (указать дату составления справки) (Образец)</w:t>
      </w:r>
    </w:p>
    <w:p>
      <w:pPr>
        <w:pStyle w:val="Normal"/>
        <w:spacing w:lineRule="auto" w:line="240" w:before="0" w:after="0"/>
        <w:rPr>
          <w:rFonts w:ascii="Times New Roman" w:hAnsi="Times New Roman"/>
        </w:rPr>
      </w:pPr>
      <w:r>
        <w:rPr>
          <w:rFonts w:ascii="Times New Roman" w:hAnsi="Times New Roman"/>
        </w:rPr>
        <w:t>Настоящим (краткое/полное наименование организации подрядчика/контрагента) сообщает о том, что средняя оплата труда специалистов за рабочий день составляет:</w:t>
      </w:r>
    </w:p>
    <w:p>
      <w:pPr>
        <w:pStyle w:val="Normal"/>
        <w:spacing w:lineRule="auto" w:line="240" w:before="0" w:after="0"/>
        <w:rPr>
          <w:rFonts w:ascii="Times New Roman" w:hAnsi="Times New Roman"/>
        </w:rPr>
      </w:pPr>
      <w:r>
        <w:rPr>
          <w:rFonts w:ascii="Times New Roman" w:hAnsi="Times New Roman"/>
        </w:rPr>
      </w:r>
    </w:p>
    <w:tbl>
      <w:tblPr>
        <w:tblW w:w="8793" w:type="dxa"/>
        <w:jc w:val="left"/>
        <w:tblInd w:w="83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0" w:type="dxa"/>
          <w:left w:w="93" w:type="dxa"/>
          <w:bottom w:w="0" w:type="dxa"/>
          <w:right w:w="108" w:type="dxa"/>
        </w:tblCellMar>
        <w:tblLook w:val="0000" w:noVBand="0" w:noHBand="0" w:lastColumn="0" w:firstColumn="0" w:lastRow="0" w:firstRow="0"/>
      </w:tblPr>
      <w:tblGrid>
        <w:gridCol w:w="1747"/>
        <w:gridCol w:w="3942"/>
        <w:gridCol w:w="3104"/>
      </w:tblGrid>
      <w:tr>
        <w:trPr>
          <w:trHeight w:val="325" w:hRule="atLeast"/>
        </w:trPr>
        <w:tc>
          <w:tcPr>
            <w:tcW w:w="17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FFFFF" w:val="clear"/>
            <w:tcMar>
              <w:left w:w="9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№ </w:t>
            </w:r>
            <w:r>
              <w:rPr>
                <w:rFonts w:ascii="Times New Roman" w:hAnsi="Times New Roman"/>
                <w:color w:val="000000"/>
              </w:rPr>
              <w:t>п/п</w:t>
            </w:r>
          </w:p>
        </w:tc>
        <w:tc>
          <w:tcPr>
            <w:tcW w:w="39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Должность специалиста</w:t>
            </w:r>
          </w:p>
        </w:tc>
        <w:tc>
          <w:tcPr>
            <w:tcW w:w="31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Заработная плата в день, в руб.</w:t>
            </w:r>
          </w:p>
        </w:tc>
      </w:tr>
      <w:tr>
        <w:trPr>
          <w:trHeight w:val="630" w:hRule="atLeast"/>
        </w:trPr>
        <w:tc>
          <w:tcPr>
            <w:tcW w:w="17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FFFFF" w:val="clear"/>
            <w:tcMar>
              <w:left w:w="9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9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(указать должность)</w:t>
            </w:r>
          </w:p>
        </w:tc>
        <w:tc>
          <w:tcPr>
            <w:tcW w:w="31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  <w:tr>
        <w:trPr>
          <w:trHeight w:val="581" w:hRule="atLeast"/>
        </w:trPr>
        <w:tc>
          <w:tcPr>
            <w:tcW w:w="17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FFFFF" w:val="clear"/>
            <w:tcMar>
              <w:left w:w="9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39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(указать должность)</w:t>
            </w:r>
          </w:p>
        </w:tc>
        <w:tc>
          <w:tcPr>
            <w:tcW w:w="31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  <w:tr>
        <w:trPr>
          <w:trHeight w:val="634" w:hRule="atLeast"/>
        </w:trPr>
        <w:tc>
          <w:tcPr>
            <w:tcW w:w="17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FFFFF" w:val="clear"/>
            <w:tcMar>
              <w:left w:w="9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39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(указать должность)</w:t>
            </w:r>
          </w:p>
        </w:tc>
        <w:tc>
          <w:tcPr>
            <w:tcW w:w="31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</w:tbl>
    <w:p>
      <w:pPr>
        <w:pStyle w:val="Normal"/>
        <w:spacing w:lineRule="auto" w:line="240" w:before="0" w:after="0"/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>
      <w:pPr>
        <w:pStyle w:val="Normal"/>
        <w:spacing w:lineRule="auto" w:line="240" w:before="0" w:after="0"/>
        <w:rPr>
          <w:rFonts w:ascii="Times New Roman" w:hAnsi="Times New Roman"/>
        </w:rPr>
      </w:pPr>
      <w:r>
        <w:rPr>
          <w:rFonts w:ascii="Times New Roman" w:hAnsi="Times New Roman"/>
        </w:rPr>
        <w:t>Накладные расходы _______(%)</w:t>
        <w:tab/>
        <w:tab/>
        <w:tab/>
        <w:tab/>
        <w:tab/>
        <w:tab/>
      </w:r>
    </w:p>
    <w:p>
      <w:pPr>
        <w:pStyle w:val="Normal"/>
        <w:spacing w:lineRule="auto" w:line="240" w:before="0" w:after="0"/>
        <w:rPr>
          <w:rFonts w:ascii="Times New Roman" w:hAnsi="Times New Roman"/>
        </w:rPr>
      </w:pPr>
      <w:r>
        <w:rPr>
          <w:rFonts w:ascii="Times New Roman" w:hAnsi="Times New Roman"/>
        </w:rPr>
        <w:t>Рентабельность предприятия_________(%)</w:t>
        <w:tab/>
        <w:tab/>
        <w:tab/>
        <w:tab/>
        <w:tab/>
        <w:tab/>
        <w:t xml:space="preserve"> </w:t>
      </w:r>
    </w:p>
    <w:p>
      <w:pPr>
        <w:pStyle w:val="Normal"/>
        <w:spacing w:lineRule="auto" w:line="240" w:before="0" w:after="0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b/>
          <w:b/>
        </w:rPr>
      </w:pPr>
      <w:r>
        <w:rPr>
          <w:rFonts w:ascii="Times New Roman" w:hAnsi="Times New Roman"/>
          <w:b/>
        </w:rPr>
        <w:t>Дата</w:t>
      </w:r>
    </w:p>
    <w:p>
      <w:pPr>
        <w:pStyle w:val="Normal"/>
        <w:spacing w:lineRule="auto" w:line="240" w:before="0" w:after="0"/>
        <w:rPr>
          <w:rFonts w:ascii="Times New Roman" w:hAnsi="Times New Roman"/>
          <w:b/>
          <w:b/>
        </w:rPr>
      </w:pPr>
      <w:r>
        <w:rPr>
          <w:rFonts w:ascii="Times New Roman" w:hAnsi="Times New Roman"/>
          <w:b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(Должность единоличного исполнительного органа контрагента/подрядчика)</w:t>
        <w:tab/>
        <w:tab/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(краткое/полное наименование организации) ________________ (ФИО)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м.п.</w:t>
      </w:r>
    </w:p>
    <w:p>
      <w:pPr>
        <w:pStyle w:val="Normal"/>
        <w:spacing w:lineRule="auto" w:line="240" w:before="0" w:after="0"/>
        <w:jc w:val="both"/>
        <w:rPr/>
      </w:pPr>
      <w:r>
        <w:rPr>
          <w:rFonts w:ascii="Times New Roman" w:hAnsi="Times New Roman"/>
        </w:rPr>
        <w:t>(Главный бухгалтер)</w:t>
      </w:r>
      <w:r>
        <w:rPr>
          <w:rStyle w:val="Style17"/>
          <w:rFonts w:ascii="Times New Roman" w:hAnsi="Times New Roman"/>
        </w:rPr>
        <w:footnoteReference w:id="2"/>
      </w:r>
      <w:r>
        <w:rPr>
          <w:rFonts w:ascii="Times New Roman" w:hAnsi="Times New Roman"/>
        </w:rPr>
        <w:tab/>
        <w:tab/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(краткое/полное наименование организации контрагента/подрядчика) _________ (ФИО)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sectPr>
          <w:footerReference w:type="default" r:id="rId2"/>
          <w:footnotePr>
            <w:numFmt w:val="decimal"/>
            <w:numRestart w:val="eachPage"/>
          </w:footnotePr>
          <w:type w:val="nextPage"/>
          <w:pgSz w:w="11906" w:h="16838"/>
          <w:pgMar w:left="1265" w:right="507" w:header="0" w:top="1134" w:footer="709" w:bottom="1134" w:gutter="0"/>
          <w:pgNumType w:fmt="decimal"/>
          <w:formProt w:val="false"/>
          <w:textDirection w:val="lrTb"/>
          <w:docGrid w:type="default" w:linePitch="240" w:charSpace="4294965247"/>
        </w:sect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м.п.</w:t>
      </w:r>
    </w:p>
    <w:p>
      <w:pPr>
        <w:pStyle w:val="Normal"/>
        <w:spacing w:lineRule="auto" w:line="240" w:before="0" w:after="0"/>
        <w:ind w:left="5811" w:hanging="0"/>
        <w:jc w:val="righ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Приложение №2</w:t>
      </w:r>
    </w:p>
    <w:p>
      <w:pPr>
        <w:pStyle w:val="Normal"/>
        <w:spacing w:lineRule="auto" w:line="240" w:before="0" w:after="0"/>
        <w:ind w:left="5811" w:hanging="0"/>
        <w:jc w:val="righ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к пояснительной записке</w:t>
      </w:r>
    </w:p>
    <w:p>
      <w:pPr>
        <w:pStyle w:val="Normal"/>
        <w:spacing w:lineRule="auto" w:line="240" w:before="0" w:after="0"/>
        <w:ind w:left="5811" w:hanging="0"/>
        <w:jc w:val="righ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 </w:t>
      </w:r>
      <w:r>
        <w:rPr>
          <w:rFonts w:ascii="Times New Roman" w:hAnsi="Times New Roman"/>
          <w:sz w:val="20"/>
        </w:rPr>
        <w:t>по заполнению формы 3П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b/>
        </w:rPr>
      </w:pPr>
      <w:r>
        <w:rPr>
          <w:rFonts w:ascii="Times New Roman" w:hAnsi="Times New Roman"/>
          <w:b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b/>
        </w:rPr>
      </w:pPr>
      <w:r>
        <w:rPr>
          <w:rFonts w:ascii="Times New Roman" w:hAnsi="Times New Roman"/>
          <w:b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b/>
        </w:rPr>
      </w:pPr>
      <w:r>
        <w:rPr>
          <w:rFonts w:ascii="Times New Roman" w:hAnsi="Times New Roman"/>
          <w:b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b/>
        </w:rPr>
      </w:pPr>
      <w:r>
        <w:rPr>
          <w:rFonts w:ascii="Times New Roman" w:hAnsi="Times New Roman"/>
          <w:b/>
        </w:rPr>
        <w:t>Образец расчета командировочных расходов</w:t>
      </w:r>
    </w:p>
    <w:p>
      <w:pPr>
        <w:pStyle w:val="Normal"/>
        <w:spacing w:lineRule="auto" w:line="240" w:before="0" w:after="0"/>
        <w:ind w:hanging="567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ind w:hanging="567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Приложение № __ к смете № __</w:t>
      </w:r>
    </w:p>
    <w:p>
      <w:pPr>
        <w:pStyle w:val="Normal"/>
        <w:spacing w:lineRule="auto" w:line="240" w:before="0" w:after="0"/>
        <w:ind w:hanging="567"/>
        <w:jc w:val="center"/>
        <w:rPr>
          <w:rFonts w:ascii="Times New Roman" w:hAnsi="Times New Roman"/>
          <w:b/>
          <w:b/>
        </w:rPr>
      </w:pPr>
      <w:r>
        <w:rPr>
          <w:rFonts w:ascii="Times New Roman" w:hAnsi="Times New Roman"/>
          <w:b/>
        </w:rPr>
        <w:t>Расчет командировочных расходов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</w:p>
    <w:tbl>
      <w:tblPr>
        <w:tblW w:w="5000" w:type="pct"/>
        <w:jc w:val="left"/>
        <w:tblInd w:w="-1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0" w:type="dxa"/>
          <w:left w:w="98" w:type="dxa"/>
          <w:bottom w:w="0" w:type="dxa"/>
          <w:right w:w="108" w:type="dxa"/>
        </w:tblCellMar>
        <w:tblLook w:val="0000" w:noVBand="0" w:noHBand="0" w:lastColumn="0" w:firstColumn="0" w:lastRow="0" w:firstRow="0"/>
      </w:tblPr>
      <w:tblGrid>
        <w:gridCol w:w="546"/>
        <w:gridCol w:w="121"/>
        <w:gridCol w:w="1283"/>
        <w:gridCol w:w="1172"/>
        <w:gridCol w:w="1669"/>
        <w:gridCol w:w="895"/>
        <w:gridCol w:w="1900"/>
        <w:gridCol w:w="1713"/>
        <w:gridCol w:w="1437"/>
        <w:gridCol w:w="1783"/>
        <w:gridCol w:w="2049"/>
      </w:tblGrid>
      <w:tr>
        <w:trPr/>
        <w:tc>
          <w:tcPr>
            <w:tcW w:w="66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20"/>
                <w:szCs w:val="20"/>
              </w:rPr>
              <w:t xml:space="preserve">№ </w:t>
            </w:r>
            <w:r>
              <w:rPr>
                <w:rFonts w:ascii="Times New Roman" w:hAnsi="Times New Roman"/>
                <w:sz w:val="20"/>
                <w:szCs w:val="20"/>
              </w:rPr>
              <w:t>п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/</w:t>
            </w:r>
            <w:r>
              <w:rPr>
                <w:rFonts w:ascii="Times New Roman" w:hAnsi="Times New Roman"/>
                <w:sz w:val="20"/>
                <w:szCs w:val="20"/>
              </w:rPr>
              <w:t>п</w:t>
            </w:r>
          </w:p>
        </w:tc>
        <w:tc>
          <w:tcPr>
            <w:tcW w:w="12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Пункт назначения </w:t>
              <w:br/>
              <w:t>(туда / обратно)</w:t>
            </w:r>
          </w:p>
        </w:tc>
        <w:tc>
          <w:tcPr>
            <w:tcW w:w="11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Вид транспорта </w:t>
            </w:r>
          </w:p>
        </w:tc>
        <w:tc>
          <w:tcPr>
            <w:tcW w:w="16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Стоимость проезда, руб. (без НДС)</w:t>
            </w:r>
          </w:p>
        </w:tc>
        <w:tc>
          <w:tcPr>
            <w:tcW w:w="8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Кол-во дней</w:t>
            </w:r>
          </w:p>
        </w:tc>
        <w:tc>
          <w:tcPr>
            <w:tcW w:w="19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Стоимость суточных, руб./сут. </w:t>
              <w:br/>
              <w:t>(без НДС)</w:t>
            </w:r>
          </w:p>
        </w:tc>
        <w:tc>
          <w:tcPr>
            <w:tcW w:w="17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Стоимость проживания, руб./сут.. </w:t>
              <w:br/>
              <w:t>(без НДС)</w:t>
            </w:r>
          </w:p>
        </w:tc>
        <w:tc>
          <w:tcPr>
            <w:tcW w:w="14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Кол-во командировок</w:t>
            </w:r>
          </w:p>
        </w:tc>
        <w:tc>
          <w:tcPr>
            <w:tcW w:w="17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Кол-во командированных человек</w:t>
            </w:r>
          </w:p>
        </w:tc>
        <w:tc>
          <w:tcPr>
            <w:tcW w:w="20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Итого стоимость командировочных расходов, руб. </w:t>
              <w:br/>
              <w:t>(без НДС)</w:t>
            </w:r>
          </w:p>
        </w:tc>
      </w:tr>
      <w:tr>
        <w:trPr/>
        <w:tc>
          <w:tcPr>
            <w:tcW w:w="5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4022" w:type="dxa"/>
            <w:gridSpan w:val="1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FFFFF" w:val="clear"/>
            <w:tcMar>
              <w:left w:w="9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Из пункта 1 в пункт 5</w:t>
            </w:r>
          </w:p>
        </w:tc>
      </w:tr>
      <w:tr>
        <w:trPr/>
        <w:tc>
          <w:tcPr>
            <w:tcW w:w="66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2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FFFFF" w:val="clear"/>
            <w:tcMar>
              <w:left w:w="9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Из пункта 1 в пункт 2</w:t>
            </w:r>
          </w:p>
        </w:tc>
        <w:tc>
          <w:tcPr>
            <w:tcW w:w="11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6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FFFFF" w:val="clear"/>
            <w:tcMar>
              <w:left w:w="9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FFFFF" w:val="clear"/>
            <w:tcMar>
              <w:left w:w="9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9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FFFFF" w:val="clear"/>
            <w:tcMar>
              <w:left w:w="9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7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FFFFF" w:val="clear"/>
            <w:tcMar>
              <w:left w:w="9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4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FFFFF" w:val="clear"/>
            <w:tcMar>
              <w:left w:w="9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7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FFFFF" w:val="clear"/>
            <w:tcMar>
              <w:left w:w="9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0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FFFFF" w:val="clear"/>
            <w:tcMar>
              <w:left w:w="9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/>
        <w:tc>
          <w:tcPr>
            <w:tcW w:w="66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2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FFFFF" w:val="clear"/>
            <w:tcMar>
              <w:left w:w="9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Из пункта 2 в пункт 3</w:t>
            </w:r>
          </w:p>
        </w:tc>
        <w:tc>
          <w:tcPr>
            <w:tcW w:w="11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6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FFFFF" w:val="clear"/>
            <w:tcMar>
              <w:left w:w="9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FFFFF" w:val="clear"/>
            <w:tcMar>
              <w:left w:w="9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9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FFFFF" w:val="clear"/>
            <w:tcMar>
              <w:left w:w="9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7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FFFFF" w:val="clear"/>
            <w:tcMar>
              <w:left w:w="9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4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FFFFF" w:val="clear"/>
            <w:tcMar>
              <w:left w:w="9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7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FFFFF" w:val="clear"/>
            <w:tcMar>
              <w:left w:w="9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0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FFFFF" w:val="clear"/>
            <w:tcMar>
              <w:left w:w="9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/>
        <w:tc>
          <w:tcPr>
            <w:tcW w:w="66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2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1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6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8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9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7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4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7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20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</w:tr>
      <w:tr>
        <w:trPr/>
        <w:tc>
          <w:tcPr>
            <w:tcW w:w="66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2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FFFFF" w:val="clear"/>
            <w:tcMar>
              <w:left w:w="9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Из пункта 4 в пункт 5</w:t>
            </w:r>
          </w:p>
        </w:tc>
        <w:tc>
          <w:tcPr>
            <w:tcW w:w="11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6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FFFFF" w:val="clear"/>
            <w:tcMar>
              <w:left w:w="9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FFFFF" w:val="clear"/>
            <w:tcMar>
              <w:left w:w="9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9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FFFFF" w:val="clear"/>
            <w:tcMar>
              <w:left w:w="9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7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FFFFF" w:val="clear"/>
            <w:tcMar>
              <w:left w:w="9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4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FFFFF" w:val="clear"/>
            <w:tcMar>
              <w:left w:w="9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7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FFFFF" w:val="clear"/>
            <w:tcMar>
              <w:left w:w="9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0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FFFFF" w:val="clear"/>
            <w:tcMar>
              <w:left w:w="9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/>
        <w:tc>
          <w:tcPr>
            <w:tcW w:w="5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8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1973" w:type="dxa"/>
            <w:gridSpan w:val="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Итого стоимость командировочных расходов из пункта 1 в пункт 5</w:t>
            </w:r>
          </w:p>
        </w:tc>
        <w:tc>
          <w:tcPr>
            <w:tcW w:w="20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FFFFF" w:val="clear"/>
            <w:tcMar>
              <w:left w:w="9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17" w:hRule="atLeast"/>
        </w:trPr>
        <w:tc>
          <w:tcPr>
            <w:tcW w:w="5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4022" w:type="dxa"/>
            <w:gridSpan w:val="1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FFFFF" w:val="clear"/>
            <w:tcMar>
              <w:left w:w="9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Из пункта 5 в пункт 1</w:t>
            </w:r>
          </w:p>
        </w:tc>
      </w:tr>
      <w:tr>
        <w:trPr/>
        <w:tc>
          <w:tcPr>
            <w:tcW w:w="66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2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FFFFF" w:val="clear"/>
            <w:tcMar>
              <w:left w:w="9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Из пункта 5 в пункт 4</w:t>
            </w:r>
          </w:p>
        </w:tc>
        <w:tc>
          <w:tcPr>
            <w:tcW w:w="11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6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FFFFF" w:val="clear"/>
            <w:tcMar>
              <w:left w:w="9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FFFFF" w:val="clear"/>
            <w:tcMar>
              <w:left w:w="9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9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FFFFF" w:val="clear"/>
            <w:tcMar>
              <w:left w:w="9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7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FFFFF" w:val="clear"/>
            <w:tcMar>
              <w:left w:w="9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4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FFFFF" w:val="clear"/>
            <w:tcMar>
              <w:left w:w="9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7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FFFFF" w:val="clear"/>
            <w:tcMar>
              <w:left w:w="9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0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FFFFF" w:val="clear"/>
            <w:tcMar>
              <w:left w:w="9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/>
        <w:tc>
          <w:tcPr>
            <w:tcW w:w="66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2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FFFFF" w:val="clear"/>
            <w:tcMar>
              <w:left w:w="9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Из пункта 4 в пункт 3</w:t>
            </w:r>
          </w:p>
        </w:tc>
        <w:tc>
          <w:tcPr>
            <w:tcW w:w="11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6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FFFFF" w:val="clear"/>
            <w:tcMar>
              <w:left w:w="9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FFFFF" w:val="clear"/>
            <w:tcMar>
              <w:left w:w="9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9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FFFFF" w:val="clear"/>
            <w:tcMar>
              <w:left w:w="9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7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FFFFF" w:val="clear"/>
            <w:tcMar>
              <w:left w:w="9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4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FFFFF" w:val="clear"/>
            <w:tcMar>
              <w:left w:w="9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7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FFFFF" w:val="clear"/>
            <w:tcMar>
              <w:left w:w="9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0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FFFFF" w:val="clear"/>
            <w:tcMar>
              <w:left w:w="9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/>
        <w:tc>
          <w:tcPr>
            <w:tcW w:w="66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2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1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6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8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9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7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4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7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20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</w:tr>
      <w:tr>
        <w:trPr/>
        <w:tc>
          <w:tcPr>
            <w:tcW w:w="66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2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Из пункта 2 в пункт 1</w:t>
            </w:r>
          </w:p>
        </w:tc>
        <w:tc>
          <w:tcPr>
            <w:tcW w:w="11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6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9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7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4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7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0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/>
        <w:tc>
          <w:tcPr>
            <w:tcW w:w="5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8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1973" w:type="dxa"/>
            <w:gridSpan w:val="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Итого стоимость командировочных расходов из пункта 5 в пункт 1</w:t>
            </w:r>
          </w:p>
        </w:tc>
        <w:tc>
          <w:tcPr>
            <w:tcW w:w="20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/>
        <w:tc>
          <w:tcPr>
            <w:tcW w:w="5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8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1973" w:type="dxa"/>
            <w:gridSpan w:val="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Всего стоимость командировочных расходов</w:t>
            </w:r>
          </w:p>
        </w:tc>
        <w:tc>
          <w:tcPr>
            <w:tcW w:w="20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</w:tbl>
    <w:p>
      <w:pPr>
        <w:pStyle w:val="Normal"/>
        <w:spacing w:lineRule="auto" w:line="240" w:before="0" w:after="0"/>
        <w:jc w:val="righ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Normal"/>
        <w:spacing w:lineRule="auto" w:line="240" w:before="0" w:after="0"/>
        <w:ind w:left="-113" w:hanging="0"/>
        <w:rPr/>
      </w:pPr>
      <w:r>
        <w:rPr/>
      </w:r>
    </w:p>
    <w:sectPr>
      <w:footerReference w:type="default" r:id="rId3"/>
      <w:footnotePr>
        <w:numFmt w:val="decimal"/>
        <w:numRestart w:val="eachPage"/>
      </w:footnotePr>
      <w:type w:val="nextPage"/>
      <w:pgSz w:orient="landscape" w:w="16838" w:h="11906"/>
      <w:pgMar w:left="1134" w:right="1134" w:header="0" w:top="1701" w:footer="709" w:bottom="851" w:gutter="0"/>
      <w:pgNumType w:fmt="decimal"/>
      <w:formProt w:val="false"/>
      <w:textDirection w:val="lrTb"/>
      <w:docGrid w:type="default" w:linePitch="299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Arial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Symbol">
    <w:charset w:val="02"/>
    <w:family w:val="auto"/>
    <w:pitch w:val="default"/>
  </w:font>
  <w:font w:name="Courier New">
    <w:charset w:val="01"/>
    <w:family w:val="auto"/>
    <w:pitch w:val="fixed"/>
  </w:font>
  <w:font w:name="Wingdings">
    <w:charset w:val="02"/>
    <w:family w:val="auto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6"/>
      <w:jc w:val="right"/>
      <w:rPr/>
    </w:pPr>
    <w:r>
      <w:rPr/>
      <w:fldChar w:fldCharType="begin"/>
    </w:r>
    <w:r>
      <w:instrText> PAGE </w:instrText>
    </w:r>
    <w:r>
      <w:fldChar w:fldCharType="separate"/>
    </w:r>
    <w:r>
      <w:t>5</w:t>
    </w:r>
    <w:r>
      <w:fldChar w:fldCharType="end"/>
    </w:r>
  </w:p>
  <w:p>
    <w:pPr>
      <w:pStyle w:val="Style26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6"/>
      <w:jc w:val="right"/>
      <w:rPr/>
    </w:pPr>
    <w:r>
      <w:rPr/>
      <w:fldChar w:fldCharType="begin"/>
    </w:r>
    <w:r>
      <w:instrText> PAGE </w:instrText>
    </w:r>
    <w:r>
      <w:fldChar w:fldCharType="separate"/>
    </w:r>
    <w:r>
      <w:t>6</w:t>
    </w:r>
    <w:r>
      <w:fldChar w:fldCharType="end"/>
    </w:r>
  </w:p>
  <w:p>
    <w:pPr>
      <w:pStyle w:val="Style26"/>
      <w:rPr/>
    </w:pPr>
    <w:r>
      <w:rPr/>
    </w:r>
  </w:p>
</w:ftr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footnote w:id="0" w:type="separator">
    <w:p>
      <w:r>
        <w:separator/>
      </w:r>
    </w:p>
  </w:footnote>
  <w:footnote w:id="1" w:type="continuationSeparator">
    <w:p>
      <w:r>
        <w:continuationSeparator/>
      </w:r>
    </w:p>
  </w:footnote>
  <w:footnote w:id="2">
    <w:p>
      <w:pPr>
        <w:pStyle w:val="Footnotetext"/>
        <w:rPr/>
      </w:pPr>
      <w:r>
        <w:rPr/>
        <w:footnoteRef/>
        <w:tab/>
      </w:r>
      <w:r>
        <w:rPr/>
        <w:t>Если в организации функции главного бухгалтера выполняет генеральный директор–ставится только его виза.</w:t>
      </w:r>
    </w:p>
    <w:p>
      <w:pPr>
        <w:pStyle w:val="Footnotetext"/>
        <w:spacing w:before="0" w:after="200"/>
        <w:rPr/>
      </w:pPr>
      <w:r>
        <w:rPr/>
        <w:tab/>
        <w:t>Возможно предоставление иной формы справки в соответствии с внутренним документооборотом организации.</w:t>
      </w:r>
    </w:p>
  </w:footnote>
</w:footnote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ind w:left="927" w:hanging="360"/>
      </w:pPr>
      <w:rPr>
        <w:sz w:val="22"/>
        <w:u w:val="none"/>
        <w:b w:val="false"/>
        <w:rFonts w:ascii="Times New Roman" w:hAnsi="Times New Roman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lvl w:ilvl="0">
      <w:start w:val="1"/>
      <w:numFmt w:val="bullet"/>
      <w:lvlText w:val=""/>
      <w:lvlJc w:val="left"/>
      <w:pPr>
        <w:ind w:left="1260" w:hanging="360"/>
      </w:pPr>
      <w:rPr>
        <w:rFonts w:ascii="Symbol" w:hAnsi="Symbol" w:cs="Symbol" w:hint="default"/>
        <w:sz w:val="22"/>
        <w:rFonts w:cs="Symbol"/>
      </w:rPr>
    </w:lvl>
    <w:lvl w:ilvl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  <w:rFonts w:cs="Courier New"/>
      </w:rPr>
    </w:lvl>
    <w:lvl w:ilvl="2">
      <w:start w:val="1"/>
      <w:numFmt w:val="bullet"/>
      <w:lvlText w:val=""/>
      <w:lvlJc w:val="left"/>
      <w:pPr>
        <w:ind w:left="2700" w:hanging="360"/>
      </w:pPr>
      <w:rPr>
        <w:rFonts w:ascii="Wingdings" w:hAnsi="Wingdings" w:cs="Wingdings" w:hint="default"/>
        <w:rFonts w:cs="Wingdings"/>
      </w:rPr>
    </w:lvl>
    <w:lvl w:ilvl="3">
      <w:start w:val="1"/>
      <w:numFmt w:val="bullet"/>
      <w:lvlText w:val=""/>
      <w:lvlJc w:val="left"/>
      <w:pPr>
        <w:ind w:left="3420" w:hanging="360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  <w:rFonts w:cs="Courier New"/>
      </w:rPr>
    </w:lvl>
    <w:lvl w:ilvl="5">
      <w:start w:val="1"/>
      <w:numFmt w:val="bullet"/>
      <w:lvlText w:val=""/>
      <w:lvlJc w:val="left"/>
      <w:pPr>
        <w:ind w:left="4860" w:hanging="360"/>
      </w:pPr>
      <w:rPr>
        <w:rFonts w:ascii="Wingdings" w:hAnsi="Wingdings" w:cs="Wingdings" w:hint="default"/>
        <w:rFonts w:cs="Wingdings"/>
      </w:rPr>
    </w:lvl>
    <w:lvl w:ilvl="6">
      <w:start w:val="1"/>
      <w:numFmt w:val="bullet"/>
      <w:lvlText w:val=""/>
      <w:lvlJc w:val="left"/>
      <w:pPr>
        <w:ind w:left="5580" w:hanging="360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  <w:rFonts w:cs="Courier New"/>
      </w:rPr>
    </w:lvl>
    <w:lvl w:ilvl="8">
      <w:start w:val="1"/>
      <w:numFmt w:val="bullet"/>
      <w:lvlText w:val=""/>
      <w:lvlJc w:val="left"/>
      <w:pPr>
        <w:ind w:left="7020" w:hanging="360"/>
      </w:pPr>
      <w:rPr>
        <w:rFonts w:ascii="Wingdings" w:hAnsi="Wingdings" w:cs="Wingdings" w:hint="default"/>
        <w:rFonts w:cs="Wingdings"/>
      </w:rPr>
    </w:lvl>
  </w:abstractNum>
  <w:abstractNum w:abstractNumId="3">
    <w:lvl w:ilvl="0">
      <w:start w:val="1"/>
      <w:numFmt w:val="bullet"/>
      <w:lvlText w:val=""/>
      <w:lvlJc w:val="left"/>
      <w:pPr>
        <w:ind w:left="1713" w:hanging="360"/>
      </w:pPr>
      <w:rPr>
        <w:rFonts w:ascii="Symbol" w:hAnsi="Symbol" w:cs="Symbol" w:hint="default"/>
        <w:rFonts w:cs="Symbol"/>
      </w:rPr>
    </w:lvl>
    <w:lvl w:ilvl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  <w:rFonts w:cs="Courier New"/>
      </w:rPr>
    </w:lvl>
    <w:lvl w:ilvl="2">
      <w:start w:val="1"/>
      <w:numFmt w:val="bullet"/>
      <w:lvlText w:val=""/>
      <w:lvlJc w:val="left"/>
      <w:pPr>
        <w:ind w:left="3153" w:hanging="360"/>
      </w:pPr>
      <w:rPr>
        <w:rFonts w:ascii="Wingdings" w:hAnsi="Wingdings" w:cs="Wingdings" w:hint="default"/>
        <w:rFonts w:cs="Wingdings"/>
      </w:rPr>
    </w:lvl>
    <w:lvl w:ilvl="3">
      <w:start w:val="1"/>
      <w:numFmt w:val="bullet"/>
      <w:lvlText w:val=""/>
      <w:lvlJc w:val="left"/>
      <w:pPr>
        <w:ind w:left="3873" w:hanging="360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  <w:rFonts w:cs="Courier New"/>
      </w:rPr>
    </w:lvl>
    <w:lvl w:ilvl="5">
      <w:start w:val="1"/>
      <w:numFmt w:val="bullet"/>
      <w:lvlText w:val=""/>
      <w:lvlJc w:val="left"/>
      <w:pPr>
        <w:ind w:left="5313" w:hanging="360"/>
      </w:pPr>
      <w:rPr>
        <w:rFonts w:ascii="Wingdings" w:hAnsi="Wingdings" w:cs="Wingdings" w:hint="default"/>
        <w:rFonts w:cs="Wingdings"/>
      </w:rPr>
    </w:lvl>
    <w:lvl w:ilvl="6">
      <w:start w:val="1"/>
      <w:numFmt w:val="bullet"/>
      <w:lvlText w:val=""/>
      <w:lvlJc w:val="left"/>
      <w:pPr>
        <w:ind w:left="6033" w:hanging="360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  <w:rFonts w:cs="Courier New"/>
      </w:rPr>
    </w:lvl>
    <w:lvl w:ilvl="8">
      <w:start w:val="1"/>
      <w:numFmt w:val="bullet"/>
      <w:lvlText w:val=""/>
      <w:lvlJc w:val="left"/>
      <w:pPr>
        <w:ind w:left="7473" w:hanging="360"/>
      </w:pPr>
      <w:rPr>
        <w:rFonts w:ascii="Wingdings" w:hAnsi="Wingdings" w:cs="Wingdings" w:hint="default"/>
        <w:rFonts w:cs="Wingdings"/>
      </w:rPr>
    </w:lvl>
  </w:abstractNum>
  <w:abstractNum w:abstractNumId="4">
    <w:lvl w:ilvl="0">
      <w:start w:val="1"/>
      <w:numFmt w:val="decimal"/>
      <w:lvlText w:val="%1."/>
      <w:lvlJc w:val="left"/>
      <w:pPr>
        <w:ind w:left="927" w:hanging="360"/>
      </w:pPr>
      <w:rPr>
        <w:u w:val="none"/>
        <w:rFonts w:ascii="Times New Roman" w:hAnsi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lvl w:ilvl="0">
      <w:start w:val="1"/>
      <w:numFmt w:val="bullet"/>
      <w:lvlText w:val=""/>
      <w:lvlJc w:val="left"/>
      <w:pPr>
        <w:ind w:left="2160" w:hanging="360"/>
      </w:pPr>
      <w:rPr>
        <w:rFonts w:ascii="Symbol" w:hAnsi="Symbol" w:cs="Symbol" w:hint="default"/>
        <w:sz w:val="22"/>
        <w:rFonts w:cs="Symbol"/>
      </w:rPr>
    </w:lvl>
    <w:lvl w:ilvl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  <w:rFonts w:cs="Courier New"/>
      </w:rPr>
    </w:lvl>
    <w:lvl w:ilvl="2">
      <w:start w:val="1"/>
      <w:numFmt w:val="bullet"/>
      <w:lvlText w:val=""/>
      <w:lvlJc w:val="left"/>
      <w:pPr>
        <w:ind w:left="3600" w:hanging="360"/>
      </w:pPr>
      <w:rPr>
        <w:rFonts w:ascii="Wingdings" w:hAnsi="Wingdings" w:cs="Wingdings" w:hint="default"/>
        <w:rFonts w:cs="Wingdings"/>
      </w:rPr>
    </w:lvl>
    <w:lvl w:ilvl="3">
      <w:start w:val="1"/>
      <w:numFmt w:val="bullet"/>
      <w:lvlText w:val=""/>
      <w:lvlJc w:val="left"/>
      <w:pPr>
        <w:ind w:left="4320" w:hanging="360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  <w:rFonts w:cs="Courier New"/>
      </w:rPr>
    </w:lvl>
    <w:lvl w:ilvl="5">
      <w:start w:val="1"/>
      <w:numFmt w:val="bullet"/>
      <w:lvlText w:val=""/>
      <w:lvlJc w:val="left"/>
      <w:pPr>
        <w:ind w:left="5760" w:hanging="360"/>
      </w:pPr>
      <w:rPr>
        <w:rFonts w:ascii="Wingdings" w:hAnsi="Wingdings" w:cs="Wingdings" w:hint="default"/>
        <w:rFonts w:cs="Wingdings"/>
      </w:rPr>
    </w:lvl>
    <w:lvl w:ilvl="6">
      <w:start w:val="1"/>
      <w:numFmt w:val="bullet"/>
      <w:lvlText w:val=""/>
      <w:lvlJc w:val="left"/>
      <w:pPr>
        <w:ind w:left="6480" w:hanging="360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  <w:rFonts w:cs="Courier New"/>
      </w:rPr>
    </w:lvl>
    <w:lvl w:ilvl="8">
      <w:start w:val="1"/>
      <w:numFmt w:val="bullet"/>
      <w:lvlText w:val=""/>
      <w:lvlJc w:val="left"/>
      <w:pPr>
        <w:ind w:left="7920" w:hanging="360"/>
      </w:pPr>
      <w:rPr>
        <w:rFonts w:ascii="Wingdings" w:hAnsi="Wingdings" w:cs="Wingdings" w:hint="default"/>
        <w:rFonts w:cs="Wingdings"/>
      </w:rPr>
    </w:lvl>
  </w:abstractNum>
  <w:abstractNum w:abstractNumId="6">
    <w:lvl w:ilvl="0">
      <w:start w:val="1"/>
      <w:numFmt w:val="bullet"/>
      <w:lvlText w:val=""/>
      <w:lvlJc w:val="left"/>
      <w:pPr>
        <w:ind w:left="1713" w:hanging="360"/>
      </w:pPr>
      <w:rPr>
        <w:rFonts w:ascii="Symbol" w:hAnsi="Symbol" w:cs="Symbol" w:hint="default"/>
        <w:rFonts w:cs="Symbol"/>
      </w:rPr>
    </w:lvl>
    <w:lvl w:ilvl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  <w:rFonts w:cs="Courier New"/>
      </w:rPr>
    </w:lvl>
    <w:lvl w:ilvl="2">
      <w:start w:val="1"/>
      <w:numFmt w:val="bullet"/>
      <w:lvlText w:val=""/>
      <w:lvlJc w:val="left"/>
      <w:pPr>
        <w:ind w:left="3153" w:hanging="360"/>
      </w:pPr>
      <w:rPr>
        <w:rFonts w:ascii="Wingdings" w:hAnsi="Wingdings" w:cs="Wingdings" w:hint="default"/>
        <w:rFonts w:cs="Wingdings"/>
      </w:rPr>
    </w:lvl>
    <w:lvl w:ilvl="3">
      <w:start w:val="1"/>
      <w:numFmt w:val="bullet"/>
      <w:lvlText w:val=""/>
      <w:lvlJc w:val="left"/>
      <w:pPr>
        <w:ind w:left="3873" w:hanging="360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  <w:rFonts w:cs="Courier New"/>
      </w:rPr>
    </w:lvl>
    <w:lvl w:ilvl="5">
      <w:start w:val="1"/>
      <w:numFmt w:val="bullet"/>
      <w:lvlText w:val=""/>
      <w:lvlJc w:val="left"/>
      <w:pPr>
        <w:ind w:left="5313" w:hanging="360"/>
      </w:pPr>
      <w:rPr>
        <w:rFonts w:ascii="Wingdings" w:hAnsi="Wingdings" w:cs="Wingdings" w:hint="default"/>
        <w:rFonts w:cs="Wingdings"/>
      </w:rPr>
    </w:lvl>
    <w:lvl w:ilvl="6">
      <w:start w:val="1"/>
      <w:numFmt w:val="bullet"/>
      <w:lvlText w:val=""/>
      <w:lvlJc w:val="left"/>
      <w:pPr>
        <w:ind w:left="6033" w:hanging="360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  <w:rFonts w:cs="Courier New"/>
      </w:rPr>
    </w:lvl>
    <w:lvl w:ilvl="8">
      <w:start w:val="1"/>
      <w:numFmt w:val="bullet"/>
      <w:lvlText w:val=""/>
      <w:lvlJc w:val="left"/>
      <w:pPr>
        <w:ind w:left="7473" w:hanging="360"/>
      </w:pPr>
      <w:rPr>
        <w:rFonts w:ascii="Wingdings" w:hAnsi="Wingdings" w:cs="Wingdings" w:hint="default"/>
        <w:rFonts w:cs="Wingdings"/>
      </w:rPr>
    </w:lvl>
  </w:abstractNum>
  <w:abstractNum w:abstractNumId="7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w="http://schemas.openxmlformats.org/wordprocessingml/2006/main">
  <w:zoom w:percent="100"/>
  <w:defaultTabStop w:val="708"/>
  <w:footnotePr>
    <w:numFmt w:val="decimal"/>
    <w:numRestart w:val="eachPage"/>
    <w:footnote w:id="0"/>
    <w:footnote w:id="1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DejaVu Sans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Times New Roman" w:cs="Times New Roman"/>
      <w:color w:val="00000A"/>
      <w:sz w:val="22"/>
      <w:szCs w:val="22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Текст сноски Знак"/>
    <w:basedOn w:val="DefaultParagraphFont"/>
    <w:qFormat/>
    <w:rPr>
      <w:rFonts w:ascii="Times New Roman" w:hAnsi="Times New Roman" w:eastAsia="Calibri" w:cs="Times New Roman"/>
      <w:sz w:val="20"/>
      <w:szCs w:val="20"/>
      <w:lang w:eastAsia="ru-RU"/>
    </w:rPr>
  </w:style>
  <w:style w:type="character" w:styleId="Footnotereference">
    <w:name w:val="footnote reference"/>
    <w:qFormat/>
    <w:rPr>
      <w:vertAlign w:val="superscript"/>
    </w:rPr>
  </w:style>
  <w:style w:type="character" w:styleId="Style15" w:customStyle="1">
    <w:name w:val="Нижний колонтитул Знак"/>
    <w:basedOn w:val="DefaultParagraphFont"/>
    <w:qFormat/>
    <w:rPr>
      <w:rFonts w:ascii="Calibri" w:hAnsi="Calibri" w:eastAsia="Times New Roman" w:cs="Times New Roman"/>
      <w:lang w:eastAsia="ru-RU"/>
    </w:rPr>
  </w:style>
  <w:style w:type="character" w:styleId="ConsPlusNormal" w:customStyle="1">
    <w:name w:val="ConsPlusNormal Знак"/>
    <w:qFormat/>
    <w:rPr>
      <w:rFonts w:ascii="Arial" w:hAnsi="Arial" w:eastAsia="Times New Roman" w:cs="Arial"/>
      <w:sz w:val="20"/>
      <w:szCs w:val="20"/>
      <w:lang w:eastAsia="ru-RU"/>
    </w:rPr>
  </w:style>
  <w:style w:type="character" w:styleId="ListLabel1" w:customStyle="1">
    <w:name w:val="ListLabel 1"/>
    <w:qFormat/>
    <w:rPr>
      <w:rFonts w:ascii="Times New Roman" w:hAnsi="Times New Roman"/>
      <w:b w:val="false"/>
      <w:sz w:val="22"/>
      <w:u w:val="none"/>
    </w:rPr>
  </w:style>
  <w:style w:type="character" w:styleId="ListLabel2" w:customStyle="1">
    <w:name w:val="ListLabel 2"/>
    <w:qFormat/>
    <w:rPr>
      <w:rFonts w:cs="Courier New"/>
    </w:rPr>
  </w:style>
  <w:style w:type="character" w:styleId="ListLabel3" w:customStyle="1">
    <w:name w:val="ListLabel 3"/>
    <w:qFormat/>
    <w:rPr>
      <w:rFonts w:cs="Courier New"/>
    </w:rPr>
  </w:style>
  <w:style w:type="character" w:styleId="ListLabel4" w:customStyle="1">
    <w:name w:val="ListLabel 4"/>
    <w:qFormat/>
    <w:rPr>
      <w:rFonts w:cs="Courier New"/>
    </w:rPr>
  </w:style>
  <w:style w:type="character" w:styleId="ListLabel5" w:customStyle="1">
    <w:name w:val="ListLabel 5"/>
    <w:qFormat/>
    <w:rPr>
      <w:rFonts w:cs="Courier New"/>
    </w:rPr>
  </w:style>
  <w:style w:type="character" w:styleId="ListLabel6" w:customStyle="1">
    <w:name w:val="ListLabel 6"/>
    <w:qFormat/>
    <w:rPr>
      <w:rFonts w:cs="Courier New"/>
    </w:rPr>
  </w:style>
  <w:style w:type="character" w:styleId="ListLabel7" w:customStyle="1">
    <w:name w:val="ListLabel 7"/>
    <w:qFormat/>
    <w:rPr>
      <w:rFonts w:cs="Courier New"/>
    </w:rPr>
  </w:style>
  <w:style w:type="character" w:styleId="ListLabel8" w:customStyle="1">
    <w:name w:val="ListLabel 8"/>
    <w:qFormat/>
    <w:rPr>
      <w:rFonts w:ascii="Times New Roman" w:hAnsi="Times New Roman"/>
      <w:u w:val="none"/>
    </w:rPr>
  </w:style>
  <w:style w:type="character" w:styleId="ListLabel9" w:customStyle="1">
    <w:name w:val="ListLabel 9"/>
    <w:qFormat/>
    <w:rPr>
      <w:rFonts w:cs="Courier New"/>
    </w:rPr>
  </w:style>
  <w:style w:type="character" w:styleId="ListLabel10" w:customStyle="1">
    <w:name w:val="ListLabel 10"/>
    <w:qFormat/>
    <w:rPr>
      <w:rFonts w:cs="Courier New"/>
    </w:rPr>
  </w:style>
  <w:style w:type="character" w:styleId="ListLabel11" w:customStyle="1">
    <w:name w:val="ListLabel 11"/>
    <w:qFormat/>
    <w:rPr>
      <w:rFonts w:cs="Courier New"/>
    </w:rPr>
  </w:style>
  <w:style w:type="character" w:styleId="ListLabel12" w:customStyle="1">
    <w:name w:val="ListLabel 12"/>
    <w:qFormat/>
    <w:rPr>
      <w:rFonts w:cs="Courier New"/>
    </w:rPr>
  </w:style>
  <w:style w:type="character" w:styleId="ListLabel13" w:customStyle="1">
    <w:name w:val="ListLabel 13"/>
    <w:qFormat/>
    <w:rPr>
      <w:rFonts w:cs="Courier New"/>
    </w:rPr>
  </w:style>
  <w:style w:type="character" w:styleId="ListLabel14" w:customStyle="1">
    <w:name w:val="ListLabel 14"/>
    <w:qFormat/>
    <w:rPr>
      <w:rFonts w:cs="Courier New"/>
    </w:rPr>
  </w:style>
  <w:style w:type="character" w:styleId="ListLabel15" w:customStyle="1">
    <w:name w:val="ListLabel 15"/>
    <w:qFormat/>
    <w:rPr>
      <w:rFonts w:cs="Courier New"/>
    </w:rPr>
  </w:style>
  <w:style w:type="character" w:styleId="ListLabel16" w:customStyle="1">
    <w:name w:val="ListLabel 16"/>
    <w:qFormat/>
    <w:rPr>
      <w:rFonts w:cs="Courier New"/>
    </w:rPr>
  </w:style>
  <w:style w:type="character" w:styleId="ListLabel17" w:customStyle="1">
    <w:name w:val="ListLabel 17"/>
    <w:qFormat/>
    <w:rPr>
      <w:rFonts w:cs="Courier New"/>
    </w:rPr>
  </w:style>
  <w:style w:type="character" w:styleId="Style16" w:customStyle="1">
    <w:name w:val="Символ сноски"/>
    <w:qFormat/>
    <w:rPr/>
  </w:style>
  <w:style w:type="character" w:styleId="Style17" w:customStyle="1">
    <w:name w:val="Привязка сноски"/>
    <w:rPr>
      <w:vertAlign w:val="superscript"/>
    </w:rPr>
  </w:style>
  <w:style w:type="character" w:styleId="Style18" w:customStyle="1">
    <w:name w:val="Привязка концевой сноски"/>
    <w:rPr>
      <w:vertAlign w:val="superscript"/>
    </w:rPr>
  </w:style>
  <w:style w:type="character" w:styleId="Style19" w:customStyle="1">
    <w:name w:val="Символы концевой сноски"/>
    <w:qFormat/>
    <w:rPr/>
  </w:style>
  <w:style w:type="character" w:styleId="ListLabel18">
    <w:name w:val="ListLabel 18"/>
    <w:qFormat/>
    <w:rPr>
      <w:rFonts w:ascii="Times New Roman" w:hAnsi="Times New Roman"/>
      <w:b w:val="false"/>
      <w:sz w:val="22"/>
      <w:u w:val="none"/>
    </w:rPr>
  </w:style>
  <w:style w:type="character" w:styleId="ListLabel19">
    <w:name w:val="ListLabel 19"/>
    <w:qFormat/>
    <w:rPr>
      <w:rFonts w:ascii="Times New Roman" w:hAnsi="Times New Roman" w:cs="Symbol"/>
      <w:sz w:val="22"/>
    </w:rPr>
  </w:style>
  <w:style w:type="character" w:styleId="ListLabel20">
    <w:name w:val="ListLabel 20"/>
    <w:qFormat/>
    <w:rPr>
      <w:rFonts w:cs="Courier New"/>
    </w:rPr>
  </w:style>
  <w:style w:type="character" w:styleId="ListLabel21">
    <w:name w:val="ListLabel 21"/>
    <w:qFormat/>
    <w:rPr>
      <w:rFonts w:cs="Wingdings"/>
    </w:rPr>
  </w:style>
  <w:style w:type="character" w:styleId="ListLabel22">
    <w:name w:val="ListLabel 22"/>
    <w:qFormat/>
    <w:rPr>
      <w:rFonts w:cs="Symbol"/>
    </w:rPr>
  </w:style>
  <w:style w:type="character" w:styleId="ListLabel23">
    <w:name w:val="ListLabel 23"/>
    <w:qFormat/>
    <w:rPr>
      <w:rFonts w:cs="Courier New"/>
    </w:rPr>
  </w:style>
  <w:style w:type="character" w:styleId="ListLabel24">
    <w:name w:val="ListLabel 24"/>
    <w:qFormat/>
    <w:rPr>
      <w:rFonts w:cs="Wingdings"/>
    </w:rPr>
  </w:style>
  <w:style w:type="character" w:styleId="ListLabel25">
    <w:name w:val="ListLabel 25"/>
    <w:qFormat/>
    <w:rPr>
      <w:rFonts w:cs="Symbol"/>
    </w:rPr>
  </w:style>
  <w:style w:type="character" w:styleId="ListLabel26">
    <w:name w:val="ListLabel 26"/>
    <w:qFormat/>
    <w:rPr>
      <w:rFonts w:cs="Courier New"/>
    </w:rPr>
  </w:style>
  <w:style w:type="character" w:styleId="ListLabel27">
    <w:name w:val="ListLabel 27"/>
    <w:qFormat/>
    <w:rPr>
      <w:rFonts w:cs="Wingdings"/>
    </w:rPr>
  </w:style>
  <w:style w:type="character" w:styleId="ListLabel28">
    <w:name w:val="ListLabel 28"/>
    <w:qFormat/>
    <w:rPr>
      <w:rFonts w:ascii="Times New Roman" w:hAnsi="Times New Roman" w:cs="Symbol"/>
    </w:rPr>
  </w:style>
  <w:style w:type="character" w:styleId="ListLabel29">
    <w:name w:val="ListLabel 29"/>
    <w:qFormat/>
    <w:rPr>
      <w:rFonts w:cs="Courier New"/>
    </w:rPr>
  </w:style>
  <w:style w:type="character" w:styleId="ListLabel30">
    <w:name w:val="ListLabel 30"/>
    <w:qFormat/>
    <w:rPr>
      <w:rFonts w:cs="Wingdings"/>
    </w:rPr>
  </w:style>
  <w:style w:type="character" w:styleId="ListLabel31">
    <w:name w:val="ListLabel 31"/>
    <w:qFormat/>
    <w:rPr>
      <w:rFonts w:cs="Symbol"/>
    </w:rPr>
  </w:style>
  <w:style w:type="character" w:styleId="ListLabel32">
    <w:name w:val="ListLabel 32"/>
    <w:qFormat/>
    <w:rPr>
      <w:rFonts w:cs="Courier New"/>
    </w:rPr>
  </w:style>
  <w:style w:type="character" w:styleId="ListLabel33">
    <w:name w:val="ListLabel 33"/>
    <w:qFormat/>
    <w:rPr>
      <w:rFonts w:cs="Wingdings"/>
    </w:rPr>
  </w:style>
  <w:style w:type="character" w:styleId="ListLabel34">
    <w:name w:val="ListLabel 34"/>
    <w:qFormat/>
    <w:rPr>
      <w:rFonts w:cs="Symbol"/>
    </w:rPr>
  </w:style>
  <w:style w:type="character" w:styleId="ListLabel35">
    <w:name w:val="ListLabel 35"/>
    <w:qFormat/>
    <w:rPr>
      <w:rFonts w:cs="Courier New"/>
    </w:rPr>
  </w:style>
  <w:style w:type="character" w:styleId="ListLabel36">
    <w:name w:val="ListLabel 36"/>
    <w:qFormat/>
    <w:rPr>
      <w:rFonts w:cs="Wingdings"/>
    </w:rPr>
  </w:style>
  <w:style w:type="character" w:styleId="ListLabel37">
    <w:name w:val="ListLabel 37"/>
    <w:qFormat/>
    <w:rPr>
      <w:rFonts w:ascii="Times New Roman" w:hAnsi="Times New Roman"/>
      <w:u w:val="none"/>
    </w:rPr>
  </w:style>
  <w:style w:type="character" w:styleId="ListLabel38">
    <w:name w:val="ListLabel 38"/>
    <w:qFormat/>
    <w:rPr>
      <w:rFonts w:ascii="Times New Roman" w:hAnsi="Times New Roman" w:cs="Symbol"/>
      <w:sz w:val="22"/>
    </w:rPr>
  </w:style>
  <w:style w:type="character" w:styleId="ListLabel39">
    <w:name w:val="ListLabel 39"/>
    <w:qFormat/>
    <w:rPr>
      <w:rFonts w:cs="Courier New"/>
    </w:rPr>
  </w:style>
  <w:style w:type="character" w:styleId="ListLabel40">
    <w:name w:val="ListLabel 40"/>
    <w:qFormat/>
    <w:rPr>
      <w:rFonts w:cs="Wingdings"/>
    </w:rPr>
  </w:style>
  <w:style w:type="character" w:styleId="ListLabel41">
    <w:name w:val="ListLabel 41"/>
    <w:qFormat/>
    <w:rPr>
      <w:rFonts w:cs="Symbol"/>
    </w:rPr>
  </w:style>
  <w:style w:type="character" w:styleId="ListLabel42">
    <w:name w:val="ListLabel 42"/>
    <w:qFormat/>
    <w:rPr>
      <w:rFonts w:cs="Courier New"/>
    </w:rPr>
  </w:style>
  <w:style w:type="character" w:styleId="ListLabel43">
    <w:name w:val="ListLabel 43"/>
    <w:qFormat/>
    <w:rPr>
      <w:rFonts w:cs="Wingdings"/>
    </w:rPr>
  </w:style>
  <w:style w:type="character" w:styleId="ListLabel44">
    <w:name w:val="ListLabel 44"/>
    <w:qFormat/>
    <w:rPr>
      <w:rFonts w:cs="Symbol"/>
    </w:rPr>
  </w:style>
  <w:style w:type="character" w:styleId="ListLabel45">
    <w:name w:val="ListLabel 45"/>
    <w:qFormat/>
    <w:rPr>
      <w:rFonts w:cs="Courier New"/>
    </w:rPr>
  </w:style>
  <w:style w:type="character" w:styleId="ListLabel46">
    <w:name w:val="ListLabel 46"/>
    <w:qFormat/>
    <w:rPr>
      <w:rFonts w:cs="Wingdings"/>
    </w:rPr>
  </w:style>
  <w:style w:type="character" w:styleId="ListLabel47">
    <w:name w:val="ListLabel 47"/>
    <w:qFormat/>
    <w:rPr>
      <w:rFonts w:ascii="Times New Roman" w:hAnsi="Times New Roman" w:cs="Symbol"/>
    </w:rPr>
  </w:style>
  <w:style w:type="character" w:styleId="ListLabel48">
    <w:name w:val="ListLabel 48"/>
    <w:qFormat/>
    <w:rPr>
      <w:rFonts w:cs="Courier New"/>
    </w:rPr>
  </w:style>
  <w:style w:type="character" w:styleId="ListLabel49">
    <w:name w:val="ListLabel 49"/>
    <w:qFormat/>
    <w:rPr>
      <w:rFonts w:cs="Wingdings"/>
    </w:rPr>
  </w:style>
  <w:style w:type="character" w:styleId="ListLabel50">
    <w:name w:val="ListLabel 50"/>
    <w:qFormat/>
    <w:rPr>
      <w:rFonts w:cs="Symbol"/>
    </w:rPr>
  </w:style>
  <w:style w:type="character" w:styleId="ListLabel51">
    <w:name w:val="ListLabel 51"/>
    <w:qFormat/>
    <w:rPr>
      <w:rFonts w:cs="Courier New"/>
    </w:rPr>
  </w:style>
  <w:style w:type="character" w:styleId="ListLabel52">
    <w:name w:val="ListLabel 52"/>
    <w:qFormat/>
    <w:rPr>
      <w:rFonts w:cs="Wingdings"/>
    </w:rPr>
  </w:style>
  <w:style w:type="character" w:styleId="ListLabel53">
    <w:name w:val="ListLabel 53"/>
    <w:qFormat/>
    <w:rPr>
      <w:rFonts w:cs="Symbol"/>
    </w:rPr>
  </w:style>
  <w:style w:type="character" w:styleId="ListLabel54">
    <w:name w:val="ListLabel 54"/>
    <w:qFormat/>
    <w:rPr>
      <w:rFonts w:cs="Courier New"/>
    </w:rPr>
  </w:style>
  <w:style w:type="character" w:styleId="ListLabel55">
    <w:name w:val="ListLabel 55"/>
    <w:qFormat/>
    <w:rPr>
      <w:rFonts w:cs="Wingdings"/>
    </w:rPr>
  </w:style>
  <w:style w:type="character" w:styleId="ListLabel56">
    <w:name w:val="ListLabel 56"/>
    <w:qFormat/>
    <w:rPr>
      <w:rFonts w:ascii="Times New Roman" w:hAnsi="Times New Roman"/>
      <w:b w:val="false"/>
      <w:sz w:val="22"/>
      <w:u w:val="none"/>
    </w:rPr>
  </w:style>
  <w:style w:type="character" w:styleId="ListLabel57">
    <w:name w:val="ListLabel 57"/>
    <w:qFormat/>
    <w:rPr>
      <w:rFonts w:ascii="Times New Roman" w:hAnsi="Times New Roman" w:cs="Symbol"/>
      <w:sz w:val="22"/>
    </w:rPr>
  </w:style>
  <w:style w:type="character" w:styleId="ListLabel58">
    <w:name w:val="ListLabel 58"/>
    <w:qFormat/>
    <w:rPr>
      <w:rFonts w:cs="Courier New"/>
    </w:rPr>
  </w:style>
  <w:style w:type="character" w:styleId="ListLabel59">
    <w:name w:val="ListLabel 59"/>
    <w:qFormat/>
    <w:rPr>
      <w:rFonts w:cs="Wingdings"/>
    </w:rPr>
  </w:style>
  <w:style w:type="character" w:styleId="ListLabel60">
    <w:name w:val="ListLabel 60"/>
    <w:qFormat/>
    <w:rPr>
      <w:rFonts w:cs="Symbol"/>
    </w:rPr>
  </w:style>
  <w:style w:type="character" w:styleId="ListLabel61">
    <w:name w:val="ListLabel 61"/>
    <w:qFormat/>
    <w:rPr>
      <w:rFonts w:cs="Courier New"/>
    </w:rPr>
  </w:style>
  <w:style w:type="character" w:styleId="ListLabel62">
    <w:name w:val="ListLabel 62"/>
    <w:qFormat/>
    <w:rPr>
      <w:rFonts w:cs="Wingdings"/>
    </w:rPr>
  </w:style>
  <w:style w:type="character" w:styleId="ListLabel63">
    <w:name w:val="ListLabel 63"/>
    <w:qFormat/>
    <w:rPr>
      <w:rFonts w:cs="Symbol"/>
    </w:rPr>
  </w:style>
  <w:style w:type="character" w:styleId="ListLabel64">
    <w:name w:val="ListLabel 64"/>
    <w:qFormat/>
    <w:rPr>
      <w:rFonts w:cs="Courier New"/>
    </w:rPr>
  </w:style>
  <w:style w:type="character" w:styleId="ListLabel65">
    <w:name w:val="ListLabel 65"/>
    <w:qFormat/>
    <w:rPr>
      <w:rFonts w:cs="Wingdings"/>
    </w:rPr>
  </w:style>
  <w:style w:type="character" w:styleId="ListLabel66">
    <w:name w:val="ListLabel 66"/>
    <w:qFormat/>
    <w:rPr>
      <w:rFonts w:ascii="Times New Roman" w:hAnsi="Times New Roman" w:cs="Symbol"/>
    </w:rPr>
  </w:style>
  <w:style w:type="character" w:styleId="ListLabel67">
    <w:name w:val="ListLabel 67"/>
    <w:qFormat/>
    <w:rPr>
      <w:rFonts w:cs="Courier New"/>
    </w:rPr>
  </w:style>
  <w:style w:type="character" w:styleId="ListLabel68">
    <w:name w:val="ListLabel 68"/>
    <w:qFormat/>
    <w:rPr>
      <w:rFonts w:cs="Wingdings"/>
    </w:rPr>
  </w:style>
  <w:style w:type="character" w:styleId="ListLabel69">
    <w:name w:val="ListLabel 69"/>
    <w:qFormat/>
    <w:rPr>
      <w:rFonts w:cs="Symbol"/>
    </w:rPr>
  </w:style>
  <w:style w:type="character" w:styleId="ListLabel70">
    <w:name w:val="ListLabel 70"/>
    <w:qFormat/>
    <w:rPr>
      <w:rFonts w:cs="Courier New"/>
    </w:rPr>
  </w:style>
  <w:style w:type="character" w:styleId="ListLabel71">
    <w:name w:val="ListLabel 71"/>
    <w:qFormat/>
    <w:rPr>
      <w:rFonts w:cs="Wingdings"/>
    </w:rPr>
  </w:style>
  <w:style w:type="character" w:styleId="ListLabel72">
    <w:name w:val="ListLabel 72"/>
    <w:qFormat/>
    <w:rPr>
      <w:rFonts w:cs="Symbol"/>
    </w:rPr>
  </w:style>
  <w:style w:type="character" w:styleId="ListLabel73">
    <w:name w:val="ListLabel 73"/>
    <w:qFormat/>
    <w:rPr>
      <w:rFonts w:cs="Courier New"/>
    </w:rPr>
  </w:style>
  <w:style w:type="character" w:styleId="ListLabel74">
    <w:name w:val="ListLabel 74"/>
    <w:qFormat/>
    <w:rPr>
      <w:rFonts w:cs="Wingdings"/>
    </w:rPr>
  </w:style>
  <w:style w:type="character" w:styleId="ListLabel75">
    <w:name w:val="ListLabel 75"/>
    <w:qFormat/>
    <w:rPr>
      <w:rFonts w:ascii="Times New Roman" w:hAnsi="Times New Roman"/>
      <w:u w:val="none"/>
    </w:rPr>
  </w:style>
  <w:style w:type="character" w:styleId="ListLabel76">
    <w:name w:val="ListLabel 76"/>
    <w:qFormat/>
    <w:rPr>
      <w:rFonts w:ascii="Times New Roman" w:hAnsi="Times New Roman" w:cs="Symbol"/>
      <w:sz w:val="22"/>
    </w:rPr>
  </w:style>
  <w:style w:type="character" w:styleId="ListLabel77">
    <w:name w:val="ListLabel 77"/>
    <w:qFormat/>
    <w:rPr>
      <w:rFonts w:cs="Courier New"/>
    </w:rPr>
  </w:style>
  <w:style w:type="character" w:styleId="ListLabel78">
    <w:name w:val="ListLabel 78"/>
    <w:qFormat/>
    <w:rPr>
      <w:rFonts w:cs="Wingdings"/>
    </w:rPr>
  </w:style>
  <w:style w:type="character" w:styleId="ListLabel79">
    <w:name w:val="ListLabel 79"/>
    <w:qFormat/>
    <w:rPr>
      <w:rFonts w:cs="Symbol"/>
    </w:rPr>
  </w:style>
  <w:style w:type="character" w:styleId="ListLabel80">
    <w:name w:val="ListLabel 80"/>
    <w:qFormat/>
    <w:rPr>
      <w:rFonts w:cs="Courier New"/>
    </w:rPr>
  </w:style>
  <w:style w:type="character" w:styleId="ListLabel81">
    <w:name w:val="ListLabel 81"/>
    <w:qFormat/>
    <w:rPr>
      <w:rFonts w:cs="Wingdings"/>
    </w:rPr>
  </w:style>
  <w:style w:type="character" w:styleId="ListLabel82">
    <w:name w:val="ListLabel 82"/>
    <w:qFormat/>
    <w:rPr>
      <w:rFonts w:cs="Symbol"/>
    </w:rPr>
  </w:style>
  <w:style w:type="character" w:styleId="ListLabel83">
    <w:name w:val="ListLabel 83"/>
    <w:qFormat/>
    <w:rPr>
      <w:rFonts w:cs="Courier New"/>
    </w:rPr>
  </w:style>
  <w:style w:type="character" w:styleId="ListLabel84">
    <w:name w:val="ListLabel 84"/>
    <w:qFormat/>
    <w:rPr>
      <w:rFonts w:cs="Wingdings"/>
    </w:rPr>
  </w:style>
  <w:style w:type="character" w:styleId="ListLabel85">
    <w:name w:val="ListLabel 85"/>
    <w:qFormat/>
    <w:rPr>
      <w:rFonts w:ascii="Times New Roman" w:hAnsi="Times New Roman" w:cs="Symbol"/>
    </w:rPr>
  </w:style>
  <w:style w:type="character" w:styleId="ListLabel86">
    <w:name w:val="ListLabel 86"/>
    <w:qFormat/>
    <w:rPr>
      <w:rFonts w:cs="Courier New"/>
    </w:rPr>
  </w:style>
  <w:style w:type="character" w:styleId="ListLabel87">
    <w:name w:val="ListLabel 87"/>
    <w:qFormat/>
    <w:rPr>
      <w:rFonts w:cs="Wingdings"/>
    </w:rPr>
  </w:style>
  <w:style w:type="character" w:styleId="ListLabel88">
    <w:name w:val="ListLabel 88"/>
    <w:qFormat/>
    <w:rPr>
      <w:rFonts w:cs="Symbol"/>
    </w:rPr>
  </w:style>
  <w:style w:type="character" w:styleId="ListLabel89">
    <w:name w:val="ListLabel 89"/>
    <w:qFormat/>
    <w:rPr>
      <w:rFonts w:cs="Courier New"/>
    </w:rPr>
  </w:style>
  <w:style w:type="character" w:styleId="ListLabel90">
    <w:name w:val="ListLabel 90"/>
    <w:qFormat/>
    <w:rPr>
      <w:rFonts w:cs="Wingdings"/>
    </w:rPr>
  </w:style>
  <w:style w:type="character" w:styleId="ListLabel91">
    <w:name w:val="ListLabel 91"/>
    <w:qFormat/>
    <w:rPr>
      <w:rFonts w:cs="Symbol"/>
    </w:rPr>
  </w:style>
  <w:style w:type="character" w:styleId="ListLabel92">
    <w:name w:val="ListLabel 92"/>
    <w:qFormat/>
    <w:rPr>
      <w:rFonts w:cs="Courier New"/>
    </w:rPr>
  </w:style>
  <w:style w:type="character" w:styleId="ListLabel93">
    <w:name w:val="ListLabel 93"/>
    <w:qFormat/>
    <w:rPr>
      <w:rFonts w:cs="Wingdings"/>
    </w:rPr>
  </w:style>
  <w:style w:type="paragraph" w:styleId="Style20">
    <w:name w:val="Заголовок"/>
    <w:basedOn w:val="Normal"/>
    <w:next w:val="Style21"/>
    <w:qFormat/>
    <w:pPr>
      <w:keepNext w:val="true"/>
      <w:spacing w:before="240" w:after="120"/>
    </w:pPr>
    <w:rPr>
      <w:rFonts w:ascii="Liberation Sans" w:hAnsi="Liberation Sans" w:eastAsia="WenQuanYi Zen Hei Sharp" w:cs="Lohit Devanagari"/>
      <w:sz w:val="28"/>
      <w:szCs w:val="28"/>
    </w:rPr>
  </w:style>
  <w:style w:type="paragraph" w:styleId="Style21">
    <w:name w:val="Body Text"/>
    <w:basedOn w:val="Normal"/>
    <w:pPr>
      <w:spacing w:lineRule="auto" w:line="288" w:before="0" w:after="140"/>
    </w:pPr>
    <w:rPr/>
  </w:style>
  <w:style w:type="paragraph" w:styleId="Style22">
    <w:name w:val="List"/>
    <w:basedOn w:val="Style21"/>
    <w:pPr/>
    <w:rPr>
      <w:rFonts w:cs="Lohit Devanagari"/>
    </w:rPr>
  </w:style>
  <w:style w:type="paragraph" w:styleId="Style23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24">
    <w:name w:val="Указатель"/>
    <w:basedOn w:val="Normal"/>
    <w:qFormat/>
    <w:pPr>
      <w:suppressLineNumbers/>
    </w:pPr>
    <w:rPr>
      <w:rFonts w:cs="Lohit Devanagari"/>
    </w:rPr>
  </w:style>
  <w:style w:type="paragraph" w:styleId="Style25">
    <w:name w:val="Title"/>
    <w:basedOn w:val="Normal"/>
    <w:qFormat/>
    <w:pPr>
      <w:keepNext w:val="true"/>
      <w:spacing w:before="240" w:after="120"/>
    </w:pPr>
    <w:rPr>
      <w:rFonts w:ascii="Liberation Sans" w:hAnsi="Liberation Sans" w:eastAsia="Tahoma" w:cs="Lohit Devanagari"/>
      <w:sz w:val="28"/>
      <w:szCs w:val="28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heading">
    <w:name w:val="index heading"/>
    <w:basedOn w:val="Normal"/>
    <w:qFormat/>
    <w:pPr>
      <w:suppressLineNumbers/>
    </w:pPr>
    <w:rPr>
      <w:rFonts w:cs="Lohit Devanagari"/>
    </w:rPr>
  </w:style>
  <w:style w:type="paragraph" w:styleId="ListParagraph">
    <w:name w:val="List Paragraph"/>
    <w:basedOn w:val="Normal"/>
    <w:qFormat/>
    <w:pPr>
      <w:spacing w:before="0" w:after="200"/>
      <w:ind w:left="720" w:hanging="0"/>
      <w:contextualSpacing/>
    </w:pPr>
    <w:rPr/>
  </w:style>
  <w:style w:type="paragraph" w:styleId="Footnotetext">
    <w:name w:val="footnote text"/>
    <w:basedOn w:val="Normal"/>
    <w:qFormat/>
    <w:pPr/>
    <w:rPr/>
  </w:style>
  <w:style w:type="paragraph" w:styleId="ConsPlusNormal1" w:customStyle="1">
    <w:name w:val="ConsPlusNormal"/>
    <w:qFormat/>
    <w:pPr>
      <w:widowControl w:val="false"/>
      <w:bidi w:val="0"/>
      <w:ind w:firstLine="720"/>
      <w:jc w:val="left"/>
    </w:pPr>
    <w:rPr>
      <w:rFonts w:ascii="Arial" w:hAnsi="Arial" w:eastAsia="Times New Roman" w:cs="Arial"/>
      <w:color w:val="00000A"/>
      <w:sz w:val="20"/>
      <w:szCs w:val="20"/>
      <w:lang w:val="ru-RU" w:eastAsia="ru-RU" w:bidi="ar-SA"/>
    </w:rPr>
  </w:style>
  <w:style w:type="paragraph" w:styleId="HeaderandFooter" w:customStyle="1">
    <w:name w:val="Header and Footer"/>
    <w:basedOn w:val="Normal"/>
    <w:qFormat/>
    <w:pPr/>
    <w:rPr/>
  </w:style>
  <w:style w:type="paragraph" w:styleId="Style26">
    <w:name w:val="Footer"/>
    <w:basedOn w:val="Normal"/>
    <w:pPr>
      <w:tabs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Style27" w:customStyle="1">
    <w:name w:val="Содержимое таблицы"/>
    <w:basedOn w:val="Normal"/>
    <w:qFormat/>
    <w:pPr/>
    <w:rPr/>
  </w:style>
  <w:style w:type="paragraph" w:styleId="Style28">
    <w:name w:val="Footnote Text"/>
    <w:basedOn w:val="Normal"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oter" Target="footer2.xml"/><Relationship Id="rId4" Type="http://schemas.openxmlformats.org/officeDocument/2006/relationships/footnotes" Target="footnotes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Application>LibreOffice/5.3.6.1$Linux_X86_64 LibreOffice_project/30$Build-1</Application>
  <Pages>6</Pages>
  <Words>1231</Words>
  <Characters>8730</Characters>
  <CharactersWithSpaces>9906</CharactersWithSpaces>
  <Paragraphs>191</Paragraphs>
  <Company>DRSK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2025-06-30T07:04:00Z</dcterms:created>
  <dc:creator>Балак Дмитрий Алексеевич</dc:creator>
  <dc:description/>
  <dc:language>ru-RU</dc:language>
  <cp:lastModifiedBy/>
  <dcterms:modified xsi:type="dcterms:W3CDTF">2025-12-09T13:27:26Z</dcterms:modified>
  <cp:revision>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DRSK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